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C876EC" w14:textId="165BB142" w:rsidR="00BC35BD" w:rsidRPr="000F635E" w:rsidRDefault="000F635E" w:rsidP="000F635E">
      <w:pPr>
        <w:tabs>
          <w:tab w:val="left" w:pos="975"/>
        </w:tabs>
        <w:jc w:val="center"/>
        <w:rPr>
          <w:sz w:val="28"/>
        </w:rPr>
      </w:pPr>
      <w:r>
        <w:rPr>
          <w:b/>
        </w:rPr>
        <w:t>El Salvador</w:t>
      </w:r>
    </w:p>
    <w:p w14:paraId="3187327F" w14:textId="77777777" w:rsidR="00BC35BD" w:rsidRPr="008E72C3" w:rsidRDefault="00BC35BD" w:rsidP="00BC35BD">
      <w:pPr>
        <w:jc w:val="center"/>
        <w:rPr>
          <w:b/>
          <w:highlight w:val="yellow"/>
        </w:rPr>
      </w:pPr>
    </w:p>
    <w:p w14:paraId="2AA9083B" w14:textId="00A4ECF6" w:rsidR="00BC35BD" w:rsidRPr="00E035CF" w:rsidRDefault="00BC35BD" w:rsidP="006520DF">
      <w:pPr>
        <w:jc w:val="center"/>
        <w:rPr>
          <w:b/>
        </w:rPr>
      </w:pPr>
      <w:r w:rsidRPr="00E035CF">
        <w:rPr>
          <w:b/>
        </w:rPr>
        <w:t xml:space="preserve">MCC </w:t>
      </w:r>
      <w:r w:rsidR="00825F95" w:rsidRPr="00E035CF">
        <w:rPr>
          <w:b/>
        </w:rPr>
        <w:t>Learning</w:t>
      </w:r>
      <w:r w:rsidR="00F10B8E" w:rsidRPr="00E035CF">
        <w:rPr>
          <w:b/>
        </w:rPr>
        <w:t xml:space="preserve"> from</w:t>
      </w:r>
    </w:p>
    <w:p w14:paraId="0CEFED2C" w14:textId="77777777" w:rsidR="00066F02" w:rsidRDefault="00066F02" w:rsidP="006520DF">
      <w:pPr>
        <w:pStyle w:val="Default"/>
        <w:jc w:val="center"/>
        <w:rPr>
          <w:b/>
          <w:highlight w:val="yellow"/>
        </w:rPr>
      </w:pPr>
    </w:p>
    <w:p w14:paraId="31AD8DF6" w14:textId="7E246CEB" w:rsidR="00BC35BD" w:rsidRPr="000F635E" w:rsidRDefault="00BC35BD" w:rsidP="000F635E">
      <w:pPr>
        <w:jc w:val="center"/>
        <w:rPr>
          <w:b/>
        </w:rPr>
      </w:pPr>
      <w:r w:rsidRPr="000F635E">
        <w:rPr>
          <w:b/>
        </w:rPr>
        <w:t>“</w:t>
      </w:r>
      <w:r w:rsidR="000F635E">
        <w:rPr>
          <w:b/>
        </w:rPr>
        <w:t>Evaluation of the Formal Technical Education Sub-Activity of the Human Development Project, El Salvador</w:t>
      </w:r>
      <w:r w:rsidRPr="000F635E">
        <w:rPr>
          <w:b/>
        </w:rPr>
        <w:t>”</w:t>
      </w:r>
    </w:p>
    <w:p w14:paraId="2AA725D2" w14:textId="77777777" w:rsidR="00066F02" w:rsidRPr="000F635E" w:rsidRDefault="00066F02" w:rsidP="000F635E">
      <w:pPr>
        <w:jc w:val="center"/>
        <w:rPr>
          <w:b/>
        </w:rPr>
      </w:pPr>
    </w:p>
    <w:p w14:paraId="6A2BD7A1" w14:textId="31E896E9" w:rsidR="00BC35BD" w:rsidRPr="000F635E" w:rsidRDefault="000F635E" w:rsidP="000F635E">
      <w:pPr>
        <w:jc w:val="center"/>
        <w:rPr>
          <w:b/>
        </w:rPr>
      </w:pPr>
      <w:r w:rsidRPr="000F635E">
        <w:rPr>
          <w:b/>
        </w:rPr>
        <w:t>Mathematica Policy Research, June 2016</w:t>
      </w:r>
    </w:p>
    <w:p w14:paraId="48611963" w14:textId="7E2BDA10" w:rsidR="00AA399B" w:rsidRDefault="00AA399B" w:rsidP="00066F02"/>
    <w:p w14:paraId="26E547D7" w14:textId="5CAC097C" w:rsidR="00BD6C2C" w:rsidRDefault="00F10B8E" w:rsidP="00066F02">
      <w:r>
        <w:rPr>
          <w:sz w:val="23"/>
          <w:szCs w:val="23"/>
        </w:rPr>
        <w:t>MCC</w:t>
      </w:r>
      <w:r w:rsidR="0088665B">
        <w:rPr>
          <w:sz w:val="23"/>
          <w:szCs w:val="23"/>
        </w:rPr>
        <w:t xml:space="preserve"> </w:t>
      </w:r>
      <w:r>
        <w:rPr>
          <w:sz w:val="23"/>
          <w:szCs w:val="23"/>
        </w:rPr>
        <w:t xml:space="preserve">has </w:t>
      </w:r>
      <w:r w:rsidR="0038236D">
        <w:rPr>
          <w:sz w:val="23"/>
          <w:szCs w:val="23"/>
        </w:rPr>
        <w:t>identified</w:t>
      </w:r>
      <w:r>
        <w:rPr>
          <w:sz w:val="23"/>
          <w:szCs w:val="23"/>
        </w:rPr>
        <w:t xml:space="preserve"> the following programmatic and evaluation lessons </w:t>
      </w:r>
      <w:r w:rsidR="0038236D">
        <w:rPr>
          <w:sz w:val="23"/>
          <w:szCs w:val="23"/>
        </w:rPr>
        <w:t>based on</w:t>
      </w:r>
      <w:r>
        <w:rPr>
          <w:sz w:val="23"/>
          <w:szCs w:val="23"/>
        </w:rPr>
        <w:t xml:space="preserve"> </w:t>
      </w:r>
      <w:r w:rsidR="0088665B">
        <w:rPr>
          <w:sz w:val="23"/>
          <w:szCs w:val="23"/>
        </w:rPr>
        <w:t xml:space="preserve">the </w:t>
      </w:r>
      <w:r w:rsidR="000F635E">
        <w:rPr>
          <w:sz w:val="23"/>
          <w:szCs w:val="23"/>
        </w:rPr>
        <w:t>“</w:t>
      </w:r>
      <w:r w:rsidR="000F635E" w:rsidRPr="000F635E">
        <w:rPr>
          <w:sz w:val="23"/>
          <w:szCs w:val="23"/>
        </w:rPr>
        <w:t>Evaluation of the Formal Technical Education Sub-Activity of the Human Development Project, El Salvador</w:t>
      </w:r>
      <w:r w:rsidR="000F635E">
        <w:rPr>
          <w:sz w:val="23"/>
          <w:szCs w:val="23"/>
        </w:rPr>
        <w:t>.”</w:t>
      </w:r>
    </w:p>
    <w:p w14:paraId="5733903A" w14:textId="77777777" w:rsidR="00066F02" w:rsidRDefault="00066F02" w:rsidP="00296A20">
      <w:pPr>
        <w:autoSpaceDE w:val="0"/>
        <w:autoSpaceDN w:val="0"/>
        <w:adjustRightInd w:val="0"/>
        <w:jc w:val="both"/>
      </w:pPr>
    </w:p>
    <w:p w14:paraId="79EBAE81" w14:textId="645FC6C0" w:rsidR="00F10B8E" w:rsidRDefault="00F10B8E" w:rsidP="00296A20">
      <w:pPr>
        <w:autoSpaceDE w:val="0"/>
        <w:autoSpaceDN w:val="0"/>
        <w:adjustRightInd w:val="0"/>
        <w:jc w:val="both"/>
      </w:pPr>
      <w:r>
        <w:t>PROGRAMMATIC LESSONS</w:t>
      </w:r>
    </w:p>
    <w:p w14:paraId="5FC0AC50" w14:textId="77777777" w:rsidR="000F635E" w:rsidRDefault="000F635E" w:rsidP="000F635E">
      <w:pPr>
        <w:autoSpaceDE w:val="0"/>
        <w:autoSpaceDN w:val="0"/>
        <w:adjustRightInd w:val="0"/>
        <w:rPr>
          <w:rFonts w:ascii="Calibri" w:hAnsi="Calibri" w:cs="Calibri"/>
          <w:b/>
          <w:bCs/>
          <w:color w:val="000000"/>
          <w:sz w:val="22"/>
          <w:szCs w:val="22"/>
        </w:rPr>
      </w:pPr>
    </w:p>
    <w:p w14:paraId="1DCD62AB" w14:textId="2BE8806B" w:rsidR="000F635E" w:rsidRDefault="000F635E" w:rsidP="000F635E">
      <w:pPr>
        <w:pStyle w:val="ListParagraph"/>
        <w:numPr>
          <w:ilvl w:val="0"/>
          <w:numId w:val="20"/>
        </w:numPr>
        <w:autoSpaceDE w:val="0"/>
        <w:autoSpaceDN w:val="0"/>
        <w:adjustRightInd w:val="0"/>
        <w:rPr>
          <w:rFonts w:ascii="Times New Roman" w:hAnsi="Times New Roman"/>
          <w:color w:val="000000"/>
          <w:sz w:val="24"/>
          <w:szCs w:val="24"/>
        </w:rPr>
      </w:pPr>
      <w:r w:rsidRPr="000F635E">
        <w:rPr>
          <w:rFonts w:ascii="Times New Roman" w:hAnsi="Times New Roman"/>
          <w:i/>
          <w:iCs/>
          <w:color w:val="000000"/>
          <w:sz w:val="24"/>
          <w:szCs w:val="24"/>
        </w:rPr>
        <w:t>In order to be sustainable, projects should integrate new activities into the already existing system and improve the system where necessary</w:t>
      </w:r>
      <w:r w:rsidRPr="000F635E">
        <w:rPr>
          <w:rFonts w:ascii="Times New Roman" w:hAnsi="Times New Roman"/>
          <w:b/>
          <w:bCs/>
          <w:color w:val="000000"/>
          <w:sz w:val="24"/>
          <w:szCs w:val="24"/>
        </w:rPr>
        <w:t xml:space="preserve">. </w:t>
      </w:r>
      <w:r w:rsidRPr="000F635E">
        <w:rPr>
          <w:rFonts w:ascii="Times New Roman" w:hAnsi="Times New Roman"/>
          <w:color w:val="000000"/>
          <w:sz w:val="24"/>
          <w:szCs w:val="24"/>
        </w:rPr>
        <w:t xml:space="preserve">Teacher training took place by consultants paid with compact funds during implementation, but the on-going teacher training program was </w:t>
      </w:r>
      <w:proofErr w:type="gramStart"/>
      <w:r w:rsidRPr="000F635E">
        <w:rPr>
          <w:rFonts w:ascii="Times New Roman" w:hAnsi="Times New Roman"/>
          <w:color w:val="000000"/>
          <w:sz w:val="24"/>
          <w:szCs w:val="24"/>
        </w:rPr>
        <w:t>ad hoc</w:t>
      </w:r>
      <w:proofErr w:type="gramEnd"/>
      <w:r w:rsidRPr="000F635E">
        <w:rPr>
          <w:rFonts w:ascii="Times New Roman" w:hAnsi="Times New Roman"/>
          <w:color w:val="000000"/>
          <w:sz w:val="24"/>
          <w:szCs w:val="24"/>
        </w:rPr>
        <w:t xml:space="preserve"> and teachers and students viewed it be insufficient. This means that new teachers receive informal training from fellow teachers, which puts the reputation of the MEGATEC degrees at risk. </w:t>
      </w:r>
      <w:proofErr w:type="gramStart"/>
      <w:r w:rsidRPr="000F635E">
        <w:rPr>
          <w:rFonts w:ascii="Times New Roman" w:hAnsi="Times New Roman"/>
          <w:color w:val="000000"/>
          <w:sz w:val="24"/>
          <w:szCs w:val="24"/>
        </w:rPr>
        <w:t>It’s</w:t>
      </w:r>
      <w:proofErr w:type="gramEnd"/>
      <w:r w:rsidRPr="000F635E">
        <w:rPr>
          <w:rFonts w:ascii="Times New Roman" w:hAnsi="Times New Roman"/>
          <w:color w:val="000000"/>
          <w:sz w:val="24"/>
          <w:szCs w:val="24"/>
        </w:rPr>
        <w:t xml:space="preserve"> important to analyze whether or not a one-off training of teachers represents the highest return or if a systematic improvement to teacher training would provide higher returns. Additionally, the management of the consultants was conducted largely without the Ministry of Education. This can limit ownership and the potential for increasing Ministry capacity. However, the Ministry would have needed additional human resources to do this effectively. </w:t>
      </w:r>
    </w:p>
    <w:p w14:paraId="11935CCB" w14:textId="77777777" w:rsidR="000F635E" w:rsidRDefault="000F635E" w:rsidP="000F635E">
      <w:pPr>
        <w:pStyle w:val="ListParagraph"/>
        <w:autoSpaceDE w:val="0"/>
        <w:autoSpaceDN w:val="0"/>
        <w:adjustRightInd w:val="0"/>
        <w:rPr>
          <w:rFonts w:ascii="Times New Roman" w:hAnsi="Times New Roman"/>
          <w:color w:val="000000"/>
          <w:sz w:val="24"/>
          <w:szCs w:val="24"/>
        </w:rPr>
      </w:pPr>
    </w:p>
    <w:p w14:paraId="7C48AAD7" w14:textId="594F43D7" w:rsidR="000F635E" w:rsidRDefault="000F635E" w:rsidP="000F635E">
      <w:pPr>
        <w:pStyle w:val="ListParagraph"/>
        <w:numPr>
          <w:ilvl w:val="0"/>
          <w:numId w:val="20"/>
        </w:numPr>
        <w:autoSpaceDE w:val="0"/>
        <w:autoSpaceDN w:val="0"/>
        <w:adjustRightInd w:val="0"/>
        <w:rPr>
          <w:rFonts w:ascii="Times New Roman" w:hAnsi="Times New Roman"/>
          <w:color w:val="000000"/>
          <w:sz w:val="24"/>
          <w:szCs w:val="24"/>
        </w:rPr>
      </w:pPr>
      <w:r w:rsidRPr="000F635E">
        <w:rPr>
          <w:rFonts w:ascii="Times New Roman" w:hAnsi="Times New Roman"/>
          <w:i/>
          <w:iCs/>
          <w:color w:val="000000"/>
          <w:sz w:val="24"/>
          <w:szCs w:val="24"/>
        </w:rPr>
        <w:t>Involvement of the private sector is an important aspect of providing quality education and training</w:t>
      </w:r>
      <w:r w:rsidRPr="000F635E">
        <w:rPr>
          <w:rFonts w:ascii="Times New Roman" w:hAnsi="Times New Roman"/>
          <w:color w:val="000000"/>
          <w:sz w:val="24"/>
          <w:szCs w:val="24"/>
        </w:rPr>
        <w:t>. Results from the ITCHA evaluation suggest that there may not be enough local labor market demand to absorb secondary school and ITCHA graduates, particularly graduates with alternative tourism degrees. Additionally, the ITCHA had difficulties finding adequate internships for their students. This highlights the importance of having a mechanism to ensure the provision of training is closely linked to the skills demanded in the local or regional labor market.</w:t>
      </w:r>
    </w:p>
    <w:p w14:paraId="50EA6D11" w14:textId="77777777" w:rsidR="000F635E" w:rsidRPr="000F635E" w:rsidRDefault="000F635E" w:rsidP="000F635E">
      <w:pPr>
        <w:autoSpaceDE w:val="0"/>
        <w:autoSpaceDN w:val="0"/>
        <w:adjustRightInd w:val="0"/>
        <w:rPr>
          <w:color w:val="000000"/>
        </w:rPr>
      </w:pPr>
    </w:p>
    <w:p w14:paraId="31326FB2" w14:textId="77777777" w:rsidR="000F635E" w:rsidRDefault="000F635E" w:rsidP="000F635E">
      <w:pPr>
        <w:pStyle w:val="ListParagraph"/>
        <w:numPr>
          <w:ilvl w:val="0"/>
          <w:numId w:val="20"/>
        </w:numPr>
        <w:autoSpaceDE w:val="0"/>
        <w:autoSpaceDN w:val="0"/>
        <w:adjustRightInd w:val="0"/>
        <w:rPr>
          <w:rFonts w:ascii="Times New Roman" w:hAnsi="Times New Roman"/>
          <w:color w:val="000000"/>
          <w:sz w:val="24"/>
          <w:szCs w:val="24"/>
        </w:rPr>
      </w:pPr>
      <w:r w:rsidRPr="000F635E">
        <w:rPr>
          <w:rFonts w:ascii="Times New Roman" w:hAnsi="Times New Roman"/>
          <w:i/>
          <w:iCs/>
          <w:color w:val="000000"/>
          <w:sz w:val="24"/>
          <w:szCs w:val="24"/>
        </w:rPr>
        <w:t>Sustainability mechanisms need to be incorporated into project design from the beginning</w:t>
      </w:r>
      <w:r w:rsidRPr="000F635E">
        <w:rPr>
          <w:rFonts w:ascii="Times New Roman" w:hAnsi="Times New Roman"/>
          <w:color w:val="000000"/>
          <w:sz w:val="24"/>
          <w:szCs w:val="24"/>
        </w:rPr>
        <w:t xml:space="preserve">. Even though many of the components of the sub-activity have been found to have short-term impacts, there is concern about the sustainability of some of the investments, and therefore the sustainability of impacts on outcomes. For example, the funding for scholarships for both secondary schools and ITCHA ended with the compact and it is now the responsibility of the Ministry of Education (MINED) to continue providing them or find another provider. Without continuation of the scholarship program, transportation and other indirect costs will remain significant barriers to student </w:t>
      </w:r>
    </w:p>
    <w:p w14:paraId="76F3CFD6" w14:textId="21C75576" w:rsidR="000F635E" w:rsidRPr="000F635E" w:rsidRDefault="000F635E" w:rsidP="000F635E">
      <w:pPr>
        <w:pStyle w:val="ListParagraph"/>
        <w:rPr>
          <w:rFonts w:ascii="Times New Roman" w:hAnsi="Times New Roman"/>
          <w:color w:val="000000"/>
          <w:sz w:val="24"/>
          <w:szCs w:val="24"/>
        </w:rPr>
      </w:pPr>
    </w:p>
    <w:p w14:paraId="788CA449" w14:textId="77777777" w:rsidR="000F635E" w:rsidRDefault="000F635E" w:rsidP="000F635E">
      <w:pPr>
        <w:pStyle w:val="ListParagraph"/>
        <w:autoSpaceDE w:val="0"/>
        <w:autoSpaceDN w:val="0"/>
        <w:adjustRightInd w:val="0"/>
        <w:rPr>
          <w:color w:val="000000"/>
        </w:rPr>
      </w:pPr>
    </w:p>
    <w:p w14:paraId="560D1532" w14:textId="77777777" w:rsidR="000F635E" w:rsidRDefault="000F635E" w:rsidP="000F635E">
      <w:pPr>
        <w:pStyle w:val="ListParagraph"/>
        <w:autoSpaceDE w:val="0"/>
        <w:autoSpaceDN w:val="0"/>
        <w:adjustRightInd w:val="0"/>
        <w:rPr>
          <w:color w:val="000000"/>
        </w:rPr>
      </w:pPr>
    </w:p>
    <w:p w14:paraId="5DFEE23A" w14:textId="77777777" w:rsidR="000F635E" w:rsidRDefault="000F635E" w:rsidP="000F635E">
      <w:pPr>
        <w:pStyle w:val="ListParagraph"/>
        <w:autoSpaceDE w:val="0"/>
        <w:autoSpaceDN w:val="0"/>
        <w:adjustRightInd w:val="0"/>
        <w:rPr>
          <w:color w:val="000000"/>
        </w:rPr>
      </w:pPr>
    </w:p>
    <w:p w14:paraId="588526D2" w14:textId="22D39A8F" w:rsidR="000F635E" w:rsidRPr="000F635E" w:rsidRDefault="000F635E" w:rsidP="000F635E">
      <w:pPr>
        <w:pStyle w:val="ListParagraph"/>
        <w:rPr>
          <w:rFonts w:ascii="Times New Roman" w:hAnsi="Times New Roman"/>
          <w:sz w:val="24"/>
          <w:szCs w:val="24"/>
        </w:rPr>
      </w:pPr>
      <w:r w:rsidRPr="000F635E">
        <w:rPr>
          <w:rFonts w:ascii="Times New Roman" w:hAnsi="Times New Roman"/>
          <w:sz w:val="24"/>
          <w:szCs w:val="24"/>
        </w:rPr>
        <w:t xml:space="preserve">enrollment, particularly for boys. Another example is that while the project succeeded in bringing in new types of teachers with relevant practical experience – after the project, in some cases, they were replaced by more traditional teachers. Demonstrating a new model or approach through exceptions to rules can be a viable </w:t>
      </w:r>
      <w:proofErr w:type="gramStart"/>
      <w:r w:rsidRPr="000F635E">
        <w:rPr>
          <w:rFonts w:ascii="Times New Roman" w:hAnsi="Times New Roman"/>
          <w:sz w:val="24"/>
          <w:szCs w:val="24"/>
        </w:rPr>
        <w:t>short term</w:t>
      </w:r>
      <w:proofErr w:type="gramEnd"/>
      <w:r w:rsidRPr="000F635E">
        <w:rPr>
          <w:rFonts w:ascii="Times New Roman" w:hAnsi="Times New Roman"/>
          <w:sz w:val="24"/>
          <w:szCs w:val="24"/>
        </w:rPr>
        <w:t xml:space="preserve"> strategy, but they should be linked to longer term reform efforts to build on the demonstration effect. </w:t>
      </w:r>
    </w:p>
    <w:p w14:paraId="7E13DE2B" w14:textId="77777777" w:rsidR="008E72C3" w:rsidRDefault="008E72C3" w:rsidP="00296A20">
      <w:pPr>
        <w:autoSpaceDE w:val="0"/>
        <w:autoSpaceDN w:val="0"/>
        <w:adjustRightInd w:val="0"/>
        <w:jc w:val="both"/>
      </w:pPr>
    </w:p>
    <w:p w14:paraId="3F63AD25" w14:textId="77777777" w:rsidR="000F635E" w:rsidRDefault="00F10B8E" w:rsidP="000F635E">
      <w:pPr>
        <w:autoSpaceDE w:val="0"/>
        <w:autoSpaceDN w:val="0"/>
        <w:adjustRightInd w:val="0"/>
        <w:jc w:val="both"/>
      </w:pPr>
      <w:r>
        <w:t>EVALUATION LESSONS</w:t>
      </w:r>
    </w:p>
    <w:p w14:paraId="1983F00E" w14:textId="77777777" w:rsidR="000F635E" w:rsidRDefault="000F635E" w:rsidP="000F635E">
      <w:pPr>
        <w:autoSpaceDE w:val="0"/>
        <w:autoSpaceDN w:val="0"/>
        <w:adjustRightInd w:val="0"/>
        <w:jc w:val="both"/>
      </w:pPr>
    </w:p>
    <w:p w14:paraId="26C6FB5F" w14:textId="77777777" w:rsidR="000F635E" w:rsidRPr="000F635E" w:rsidRDefault="000F635E" w:rsidP="000F635E">
      <w:pPr>
        <w:pStyle w:val="ListParagraph"/>
        <w:numPr>
          <w:ilvl w:val="0"/>
          <w:numId w:val="21"/>
        </w:numPr>
        <w:autoSpaceDE w:val="0"/>
        <w:autoSpaceDN w:val="0"/>
        <w:adjustRightInd w:val="0"/>
        <w:jc w:val="both"/>
        <w:rPr>
          <w:rFonts w:ascii="Times New Roman" w:hAnsi="Times New Roman"/>
          <w:sz w:val="24"/>
          <w:szCs w:val="24"/>
        </w:rPr>
      </w:pPr>
      <w:r w:rsidRPr="000F635E">
        <w:rPr>
          <w:rFonts w:ascii="Times New Roman" w:hAnsi="Times New Roman"/>
          <w:i/>
          <w:iCs/>
          <w:sz w:val="24"/>
          <w:szCs w:val="24"/>
        </w:rPr>
        <w:t>Project design determines what can be evaluated</w:t>
      </w:r>
      <w:r w:rsidRPr="000F635E">
        <w:rPr>
          <w:rFonts w:ascii="Times New Roman" w:hAnsi="Times New Roman"/>
          <w:b/>
          <w:bCs/>
          <w:sz w:val="24"/>
          <w:szCs w:val="24"/>
        </w:rPr>
        <w:t xml:space="preserve">. </w:t>
      </w:r>
      <w:r w:rsidRPr="000F635E">
        <w:rPr>
          <w:rFonts w:ascii="Times New Roman" w:hAnsi="Times New Roman"/>
          <w:sz w:val="24"/>
          <w:szCs w:val="24"/>
        </w:rPr>
        <w:t xml:space="preserve">An evaluation cannot establish the differential impact of individual components of a package of interventions unless the project is designed to test different components. To do so, different pieces of the package would have to be provided to different groups of beneficiaries. If a package is provided in its entirety, the package will be </w:t>
      </w:r>
      <w:proofErr w:type="gramStart"/>
      <w:r w:rsidRPr="000F635E">
        <w:rPr>
          <w:rFonts w:ascii="Times New Roman" w:hAnsi="Times New Roman"/>
          <w:sz w:val="24"/>
          <w:szCs w:val="24"/>
        </w:rPr>
        <w:t>evaluated</w:t>
      </w:r>
      <w:proofErr w:type="gramEnd"/>
      <w:r w:rsidRPr="000F635E">
        <w:rPr>
          <w:rFonts w:ascii="Times New Roman" w:hAnsi="Times New Roman"/>
          <w:sz w:val="24"/>
          <w:szCs w:val="24"/>
        </w:rPr>
        <w:t xml:space="preserve"> and the evaluator will not be able to disentangle the impacts of individual components. This has been illustrated through the evaluation of the Technical Secondary School Strengthening. The evaluation cannot tell us if the increased enrollment is coming from improved infrastructure, better trained teachers, new curriculum, or scholarships. If, for example, scholarships had been made available to a sub-set of students in the comparison schools, the evaluation would have been able to more easily tease out the impact of the school strengthening from the impact of the scholarship. However, the desire and ability to perform such an evaluation depends on the program logic, budget, and the complexity of implementation. </w:t>
      </w:r>
    </w:p>
    <w:p w14:paraId="133EB33B" w14:textId="77777777" w:rsidR="000F635E" w:rsidRPr="000F635E" w:rsidRDefault="000F635E" w:rsidP="000F635E">
      <w:pPr>
        <w:pStyle w:val="ListParagraph"/>
        <w:autoSpaceDE w:val="0"/>
        <w:autoSpaceDN w:val="0"/>
        <w:adjustRightInd w:val="0"/>
        <w:jc w:val="both"/>
      </w:pPr>
    </w:p>
    <w:p w14:paraId="3BEF315F" w14:textId="77777777" w:rsidR="000F635E" w:rsidRPr="000F635E" w:rsidRDefault="000F635E" w:rsidP="000F635E">
      <w:pPr>
        <w:pStyle w:val="ListParagraph"/>
        <w:numPr>
          <w:ilvl w:val="0"/>
          <w:numId w:val="21"/>
        </w:numPr>
        <w:autoSpaceDE w:val="0"/>
        <w:autoSpaceDN w:val="0"/>
        <w:adjustRightInd w:val="0"/>
        <w:jc w:val="both"/>
        <w:rPr>
          <w:rFonts w:ascii="Times New Roman" w:hAnsi="Times New Roman"/>
          <w:sz w:val="24"/>
          <w:szCs w:val="24"/>
        </w:rPr>
      </w:pPr>
      <w:r w:rsidRPr="000F635E">
        <w:rPr>
          <w:rFonts w:ascii="Times New Roman" w:hAnsi="Times New Roman"/>
          <w:i/>
          <w:iCs/>
          <w:sz w:val="24"/>
          <w:szCs w:val="24"/>
        </w:rPr>
        <w:t>Random assignment can be a fair and transparent mechanism to distribute finite resources and allow for a rigorous impact evaluation.</w:t>
      </w:r>
      <w:r w:rsidRPr="000F635E">
        <w:rPr>
          <w:rFonts w:ascii="Times New Roman" w:hAnsi="Times New Roman"/>
          <w:b/>
          <w:bCs/>
          <w:sz w:val="24"/>
          <w:szCs w:val="24"/>
        </w:rPr>
        <w:t xml:space="preserve"> </w:t>
      </w:r>
      <w:r w:rsidRPr="000F635E">
        <w:rPr>
          <w:rFonts w:ascii="Times New Roman" w:hAnsi="Times New Roman"/>
          <w:sz w:val="24"/>
          <w:szCs w:val="24"/>
        </w:rPr>
        <w:t xml:space="preserve">In El Salvador, random assignment </w:t>
      </w:r>
      <w:proofErr w:type="gramStart"/>
      <w:r w:rsidRPr="000F635E">
        <w:rPr>
          <w:rFonts w:ascii="Times New Roman" w:hAnsi="Times New Roman"/>
          <w:sz w:val="24"/>
          <w:szCs w:val="24"/>
        </w:rPr>
        <w:t>was seen as</w:t>
      </w:r>
      <w:proofErr w:type="gramEnd"/>
      <w:r w:rsidRPr="000F635E">
        <w:rPr>
          <w:rFonts w:ascii="Times New Roman" w:hAnsi="Times New Roman"/>
          <w:sz w:val="24"/>
          <w:szCs w:val="24"/>
        </w:rPr>
        <w:t xml:space="preserve"> a fair way to distribute scholarships when qualified demand exceeded supply. Scholarships were offered for multiple years and the random selection was only conducted in the year where there were more qualified applicants who met the minimum criteria than scholarships available. By randomly selecting scholarship recipients, the applicants who were not offered scholarships were </w:t>
      </w:r>
      <w:proofErr w:type="gramStart"/>
      <w:r w:rsidRPr="000F635E">
        <w:rPr>
          <w:rFonts w:ascii="Times New Roman" w:hAnsi="Times New Roman"/>
          <w:sz w:val="24"/>
          <w:szCs w:val="24"/>
        </w:rPr>
        <w:t>similar to</w:t>
      </w:r>
      <w:proofErr w:type="gramEnd"/>
      <w:r w:rsidRPr="000F635E">
        <w:rPr>
          <w:rFonts w:ascii="Times New Roman" w:hAnsi="Times New Roman"/>
          <w:sz w:val="24"/>
          <w:szCs w:val="24"/>
        </w:rPr>
        <w:t xml:space="preserve"> those offered scholarships and thus created a strong control group to measure impact. The random assignment method (a computerized lottery conducted publicly) was transparent and it was clear that each eligible applicant had an equal chance to receive the scholarship. </w:t>
      </w:r>
    </w:p>
    <w:p w14:paraId="6245E765" w14:textId="73ADD0E6" w:rsidR="000F635E" w:rsidRDefault="000F635E" w:rsidP="000F635E">
      <w:pPr>
        <w:pStyle w:val="ListParagraph"/>
        <w:rPr>
          <w:rFonts w:cs="Calibri"/>
          <w:b/>
          <w:bCs/>
        </w:rPr>
      </w:pPr>
    </w:p>
    <w:p w14:paraId="6E33EF7A" w14:textId="59771920" w:rsidR="000F635E" w:rsidRDefault="000F635E" w:rsidP="000F635E">
      <w:pPr>
        <w:pStyle w:val="ListParagraph"/>
        <w:rPr>
          <w:rFonts w:cs="Calibri"/>
          <w:b/>
          <w:bCs/>
        </w:rPr>
      </w:pPr>
    </w:p>
    <w:p w14:paraId="490BB991" w14:textId="61DABA74" w:rsidR="000F635E" w:rsidRDefault="000F635E" w:rsidP="000F635E">
      <w:pPr>
        <w:pStyle w:val="ListParagraph"/>
        <w:rPr>
          <w:rFonts w:cs="Calibri"/>
          <w:b/>
          <w:bCs/>
        </w:rPr>
      </w:pPr>
    </w:p>
    <w:p w14:paraId="1F2FD89F" w14:textId="0996157F" w:rsidR="000F635E" w:rsidRDefault="000F635E" w:rsidP="000F635E">
      <w:pPr>
        <w:pStyle w:val="ListParagraph"/>
        <w:rPr>
          <w:rFonts w:cs="Calibri"/>
          <w:b/>
          <w:bCs/>
        </w:rPr>
      </w:pPr>
    </w:p>
    <w:p w14:paraId="5DC3526C" w14:textId="293DD64C" w:rsidR="000F635E" w:rsidRDefault="000F635E" w:rsidP="000F635E">
      <w:pPr>
        <w:pStyle w:val="ListParagraph"/>
        <w:rPr>
          <w:rFonts w:cs="Calibri"/>
          <w:b/>
          <w:bCs/>
        </w:rPr>
      </w:pPr>
    </w:p>
    <w:p w14:paraId="4452EC03" w14:textId="3C351717" w:rsidR="000F635E" w:rsidRDefault="000F635E" w:rsidP="000F635E">
      <w:pPr>
        <w:pStyle w:val="ListParagraph"/>
        <w:rPr>
          <w:rFonts w:cs="Calibri"/>
          <w:b/>
          <w:bCs/>
        </w:rPr>
      </w:pPr>
    </w:p>
    <w:p w14:paraId="7FA37E3B" w14:textId="3E2E90E6" w:rsidR="000F635E" w:rsidRDefault="000F635E" w:rsidP="000F635E">
      <w:pPr>
        <w:pStyle w:val="ListParagraph"/>
        <w:rPr>
          <w:rFonts w:cs="Calibri"/>
          <w:b/>
          <w:bCs/>
        </w:rPr>
      </w:pPr>
    </w:p>
    <w:p w14:paraId="1B799DF3" w14:textId="77777777" w:rsidR="000F635E" w:rsidRPr="000F635E" w:rsidRDefault="000F635E" w:rsidP="000F635E">
      <w:pPr>
        <w:pStyle w:val="ListParagraph"/>
        <w:rPr>
          <w:rFonts w:cs="Calibri"/>
          <w:b/>
          <w:bCs/>
        </w:rPr>
      </w:pPr>
    </w:p>
    <w:p w14:paraId="6BD0617F" w14:textId="486A9551" w:rsidR="000F635E" w:rsidRPr="000F635E" w:rsidRDefault="000F635E" w:rsidP="000F635E">
      <w:pPr>
        <w:pStyle w:val="ListParagraph"/>
        <w:numPr>
          <w:ilvl w:val="0"/>
          <w:numId w:val="21"/>
        </w:numPr>
        <w:autoSpaceDE w:val="0"/>
        <w:autoSpaceDN w:val="0"/>
        <w:adjustRightInd w:val="0"/>
        <w:jc w:val="both"/>
        <w:rPr>
          <w:rFonts w:ascii="Times New Roman" w:hAnsi="Times New Roman"/>
          <w:sz w:val="24"/>
          <w:szCs w:val="24"/>
        </w:rPr>
      </w:pPr>
      <w:r w:rsidRPr="000F635E">
        <w:rPr>
          <w:rFonts w:ascii="Times New Roman" w:hAnsi="Times New Roman"/>
          <w:i/>
          <w:iCs/>
          <w:sz w:val="24"/>
          <w:szCs w:val="24"/>
        </w:rPr>
        <w:t>Projects and evaluations should invest in improving the quality and availability of administrative data</w:t>
      </w:r>
      <w:r w:rsidRPr="000F635E">
        <w:rPr>
          <w:rFonts w:ascii="Times New Roman" w:hAnsi="Times New Roman"/>
          <w:b/>
          <w:bCs/>
          <w:sz w:val="18"/>
          <w:szCs w:val="18"/>
        </w:rPr>
        <w:t xml:space="preserve">. </w:t>
      </w:r>
      <w:r w:rsidRPr="000F635E">
        <w:rPr>
          <w:rFonts w:ascii="Times New Roman" w:hAnsi="Times New Roman"/>
          <w:sz w:val="24"/>
          <w:szCs w:val="24"/>
        </w:rPr>
        <w:t xml:space="preserve">Initially, the plan was that much of the data used for these evaluations would come from administrative records from MINED. However, within MINED, school-level and student-level data come from two different departments and they are not consistent with each other. The two data sources use different definitions for counting enrollment, drop-outs from one school are not tracked to see if they enroll in a different school, and some records have been found incomplete. For this final evaluation, MCC used a </w:t>
      </w:r>
      <w:proofErr w:type="gramStart"/>
      <w:r w:rsidRPr="000F635E">
        <w:rPr>
          <w:rFonts w:ascii="Times New Roman" w:hAnsi="Times New Roman"/>
          <w:sz w:val="24"/>
          <w:szCs w:val="24"/>
        </w:rPr>
        <w:t>third party</w:t>
      </w:r>
      <w:proofErr w:type="gramEnd"/>
      <w:r w:rsidRPr="000F635E">
        <w:rPr>
          <w:rFonts w:ascii="Times New Roman" w:hAnsi="Times New Roman"/>
          <w:sz w:val="24"/>
          <w:szCs w:val="24"/>
        </w:rPr>
        <w:t xml:space="preserve"> data collector to gather data directly from schools. MCC did not design the project or the evaluation to invest in improving data quality or availability and therefore, the MINED data has significant weaknesses which limit the quality of decisions that can be made based on those data. The quality of data and the use of data within MINED could be improved to help manage El Salvador’s education sector and improve the accuracy of evaluation analyses. </w:t>
      </w:r>
    </w:p>
    <w:p w14:paraId="1B6DC78E" w14:textId="77777777" w:rsidR="000F635E" w:rsidRPr="000F635E" w:rsidRDefault="000F635E" w:rsidP="00E035CF">
      <w:pPr>
        <w:pStyle w:val="ListParagraph"/>
        <w:autoSpaceDE w:val="0"/>
        <w:autoSpaceDN w:val="0"/>
        <w:adjustRightInd w:val="0"/>
        <w:jc w:val="both"/>
        <w:rPr>
          <w:rFonts w:ascii="Times New Roman" w:hAnsi="Times New Roman"/>
          <w:sz w:val="24"/>
          <w:szCs w:val="24"/>
          <w:highlight w:val="yellow"/>
        </w:rPr>
      </w:pPr>
    </w:p>
    <w:sectPr w:rsidR="000F635E" w:rsidRPr="000F635E" w:rsidSect="00617E37">
      <w:headerReference w:type="default" r:id="rId12"/>
      <w:footerReference w:type="default" r:id="rId13"/>
      <w:headerReference w:type="first" r:id="rId14"/>
      <w:footerReference w:type="first" r:id="rId15"/>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BF5878" w14:textId="77777777" w:rsidR="00D14F67" w:rsidRDefault="00D14F67">
      <w:r>
        <w:separator/>
      </w:r>
    </w:p>
  </w:endnote>
  <w:endnote w:type="continuationSeparator" w:id="0">
    <w:p w14:paraId="7DB1C7E2" w14:textId="77777777" w:rsidR="00D14F67" w:rsidRDefault="00D14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EFF" w:usb1="C000785B" w:usb2="00000009" w:usb3="00000000" w:csb0="000001FF" w:csb1="00000000"/>
  </w:font>
  <w:font w:name="Arabic Transparent">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A90D4A" w14:textId="77777777" w:rsidR="00AC02F4" w:rsidRPr="00066F02" w:rsidRDefault="00AC02F4" w:rsidP="00AC02F4">
    <w:pPr>
      <w:autoSpaceDE w:val="0"/>
      <w:autoSpaceDN w:val="0"/>
      <w:adjustRightInd w:val="0"/>
      <w:jc w:val="center"/>
      <w:rPr>
        <w:rFonts w:ascii="Calibri" w:hAnsi="Calibri" w:cs="Calibri"/>
        <w:color w:val="000000"/>
        <w:sz w:val="18"/>
        <w:szCs w:val="18"/>
      </w:rPr>
    </w:pPr>
    <w:r w:rsidRPr="00066F02">
      <w:rPr>
        <w:rFonts w:ascii="Calibri" w:hAnsi="Calibri" w:cs="Calibri"/>
        <w:color w:val="001E5E"/>
        <w:sz w:val="18"/>
        <w:szCs w:val="18"/>
      </w:rPr>
      <w:t xml:space="preserve">1099 Fourteenth Street NW </w:t>
    </w:r>
    <w:r w:rsidRPr="00066F02">
      <w:rPr>
        <w:rFonts w:ascii="Calibri" w:hAnsi="Calibri" w:cs="Calibri"/>
        <w:color w:val="C00000"/>
        <w:sz w:val="18"/>
        <w:szCs w:val="18"/>
      </w:rPr>
      <w:t xml:space="preserve">| </w:t>
    </w:r>
    <w:r w:rsidRPr="00066F02">
      <w:rPr>
        <w:rFonts w:ascii="Calibri" w:hAnsi="Calibri" w:cs="Calibri"/>
        <w:color w:val="001E5E"/>
        <w:sz w:val="18"/>
        <w:szCs w:val="18"/>
      </w:rPr>
      <w:t xml:space="preserve">Washington, DC </w:t>
    </w:r>
    <w:r w:rsidRPr="00066F02">
      <w:rPr>
        <w:rFonts w:ascii="Calibri" w:hAnsi="Calibri" w:cs="Calibri"/>
        <w:color w:val="C00000"/>
        <w:sz w:val="18"/>
        <w:szCs w:val="18"/>
      </w:rPr>
      <w:t xml:space="preserve">| </w:t>
    </w:r>
    <w:r w:rsidRPr="00066F02">
      <w:rPr>
        <w:rFonts w:ascii="Calibri" w:hAnsi="Calibri" w:cs="Calibri"/>
        <w:color w:val="001E5E"/>
        <w:sz w:val="18"/>
        <w:szCs w:val="18"/>
      </w:rPr>
      <w:t xml:space="preserve">20005-2221 </w:t>
    </w:r>
    <w:r w:rsidRPr="00066F02">
      <w:rPr>
        <w:rFonts w:ascii="Calibri" w:hAnsi="Calibri" w:cs="Calibri"/>
        <w:color w:val="C00000"/>
        <w:sz w:val="18"/>
        <w:szCs w:val="18"/>
      </w:rPr>
      <w:t xml:space="preserve">| </w:t>
    </w:r>
    <w:r w:rsidRPr="00066F02">
      <w:rPr>
        <w:rFonts w:ascii="Calibri" w:hAnsi="Calibri" w:cs="Calibri"/>
        <w:color w:val="001E5E"/>
        <w:sz w:val="18"/>
        <w:szCs w:val="18"/>
      </w:rPr>
      <w:t xml:space="preserve">p: (202) 521-3600 </w:t>
    </w:r>
    <w:r w:rsidRPr="00066F02">
      <w:rPr>
        <w:rFonts w:ascii="Calibri" w:hAnsi="Calibri" w:cs="Calibri"/>
        <w:color w:val="C00000"/>
        <w:sz w:val="18"/>
        <w:szCs w:val="18"/>
      </w:rPr>
      <w:t xml:space="preserve">| </w:t>
    </w:r>
    <w:r w:rsidRPr="00066F02">
      <w:rPr>
        <w:rFonts w:ascii="Calibri" w:hAnsi="Calibri" w:cs="Calibri"/>
        <w:color w:val="001E5E"/>
        <w:sz w:val="18"/>
        <w:szCs w:val="18"/>
      </w:rPr>
      <w:t xml:space="preserve">f: (202) 521-3700 </w:t>
    </w:r>
    <w:r w:rsidRPr="00066F02">
      <w:rPr>
        <w:rFonts w:ascii="Calibri" w:hAnsi="Calibri" w:cs="Calibri"/>
        <w:color w:val="C00000"/>
        <w:sz w:val="18"/>
        <w:szCs w:val="18"/>
      </w:rPr>
      <w:t xml:space="preserve">| </w:t>
    </w:r>
    <w:r w:rsidRPr="00066F02">
      <w:rPr>
        <w:rFonts w:ascii="Calibri" w:hAnsi="Calibri" w:cs="Calibri"/>
        <w:color w:val="001E5E"/>
        <w:sz w:val="18"/>
        <w:szCs w:val="18"/>
      </w:rPr>
      <w:t>www.mcc.gov</w:t>
    </w:r>
  </w:p>
  <w:p w14:paraId="61C97226" w14:textId="77777777" w:rsidR="00AC02F4" w:rsidRDefault="00AC02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AC90B2" w14:textId="77777777" w:rsidR="00972502" w:rsidRPr="00066F02" w:rsidRDefault="00972502" w:rsidP="00972502">
    <w:pPr>
      <w:autoSpaceDE w:val="0"/>
      <w:autoSpaceDN w:val="0"/>
      <w:adjustRightInd w:val="0"/>
      <w:jc w:val="center"/>
      <w:rPr>
        <w:rFonts w:ascii="Calibri" w:hAnsi="Calibri" w:cs="Calibri"/>
        <w:color w:val="000000"/>
        <w:sz w:val="18"/>
        <w:szCs w:val="18"/>
      </w:rPr>
    </w:pPr>
    <w:r w:rsidRPr="00066F02">
      <w:rPr>
        <w:rFonts w:ascii="Calibri" w:hAnsi="Calibri" w:cs="Calibri"/>
        <w:color w:val="001E5E"/>
        <w:sz w:val="18"/>
        <w:szCs w:val="18"/>
      </w:rPr>
      <w:t xml:space="preserve">1099 Fourteenth Street NW </w:t>
    </w:r>
    <w:r w:rsidRPr="00066F02">
      <w:rPr>
        <w:rFonts w:ascii="Calibri" w:hAnsi="Calibri" w:cs="Calibri"/>
        <w:color w:val="C00000"/>
        <w:sz w:val="18"/>
        <w:szCs w:val="18"/>
      </w:rPr>
      <w:t xml:space="preserve">| </w:t>
    </w:r>
    <w:r w:rsidRPr="00066F02">
      <w:rPr>
        <w:rFonts w:ascii="Calibri" w:hAnsi="Calibri" w:cs="Calibri"/>
        <w:color w:val="001E5E"/>
        <w:sz w:val="18"/>
        <w:szCs w:val="18"/>
      </w:rPr>
      <w:t xml:space="preserve">Washington, DC </w:t>
    </w:r>
    <w:r w:rsidRPr="00066F02">
      <w:rPr>
        <w:rFonts w:ascii="Calibri" w:hAnsi="Calibri" w:cs="Calibri"/>
        <w:color w:val="C00000"/>
        <w:sz w:val="18"/>
        <w:szCs w:val="18"/>
      </w:rPr>
      <w:t xml:space="preserve">| </w:t>
    </w:r>
    <w:r w:rsidRPr="00066F02">
      <w:rPr>
        <w:rFonts w:ascii="Calibri" w:hAnsi="Calibri" w:cs="Calibri"/>
        <w:color w:val="001E5E"/>
        <w:sz w:val="18"/>
        <w:szCs w:val="18"/>
      </w:rPr>
      <w:t xml:space="preserve">20005-2221 </w:t>
    </w:r>
    <w:r w:rsidRPr="00066F02">
      <w:rPr>
        <w:rFonts w:ascii="Calibri" w:hAnsi="Calibri" w:cs="Calibri"/>
        <w:color w:val="C00000"/>
        <w:sz w:val="18"/>
        <w:szCs w:val="18"/>
      </w:rPr>
      <w:t xml:space="preserve">| </w:t>
    </w:r>
    <w:r w:rsidRPr="00066F02">
      <w:rPr>
        <w:rFonts w:ascii="Calibri" w:hAnsi="Calibri" w:cs="Calibri"/>
        <w:color w:val="001E5E"/>
        <w:sz w:val="18"/>
        <w:szCs w:val="18"/>
      </w:rPr>
      <w:t xml:space="preserve">p: (202) 521-3600 </w:t>
    </w:r>
    <w:r w:rsidRPr="00066F02">
      <w:rPr>
        <w:rFonts w:ascii="Calibri" w:hAnsi="Calibri" w:cs="Calibri"/>
        <w:color w:val="C00000"/>
        <w:sz w:val="18"/>
        <w:szCs w:val="18"/>
      </w:rPr>
      <w:t xml:space="preserve">| </w:t>
    </w:r>
    <w:r w:rsidRPr="00066F02">
      <w:rPr>
        <w:rFonts w:ascii="Calibri" w:hAnsi="Calibri" w:cs="Calibri"/>
        <w:color w:val="001E5E"/>
        <w:sz w:val="18"/>
        <w:szCs w:val="18"/>
      </w:rPr>
      <w:t xml:space="preserve">f: (202) 521-3700 </w:t>
    </w:r>
    <w:r w:rsidRPr="00066F02">
      <w:rPr>
        <w:rFonts w:ascii="Calibri" w:hAnsi="Calibri" w:cs="Calibri"/>
        <w:color w:val="C00000"/>
        <w:sz w:val="18"/>
        <w:szCs w:val="18"/>
      </w:rPr>
      <w:t xml:space="preserve">| </w:t>
    </w:r>
    <w:r w:rsidRPr="00066F02">
      <w:rPr>
        <w:rFonts w:ascii="Calibri" w:hAnsi="Calibri" w:cs="Calibri"/>
        <w:color w:val="001E5E"/>
        <w:sz w:val="18"/>
        <w:szCs w:val="18"/>
      </w:rPr>
      <w:t>www.mcc.gov</w:t>
    </w:r>
  </w:p>
  <w:p w14:paraId="4437BE27" w14:textId="77777777" w:rsidR="00972502" w:rsidRDefault="00972502" w:rsidP="00972502">
    <w:pPr>
      <w:pStyle w:val="Footer"/>
    </w:pPr>
  </w:p>
  <w:p w14:paraId="18C5EB10" w14:textId="77777777" w:rsidR="00972502" w:rsidRDefault="00972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0C7047" w14:textId="77777777" w:rsidR="00D14F67" w:rsidRDefault="00D14F67">
      <w:r>
        <w:separator/>
      </w:r>
    </w:p>
  </w:footnote>
  <w:footnote w:type="continuationSeparator" w:id="0">
    <w:p w14:paraId="783BF1FC" w14:textId="77777777" w:rsidR="00D14F67" w:rsidRDefault="00D14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1FC4A9" w14:textId="48A0A59D" w:rsidR="00AC02F4" w:rsidRDefault="00AC02F4">
    <w:pPr>
      <w:pStyle w:val="Header"/>
    </w:pPr>
    <w:r>
      <w:rPr>
        <w:noProof/>
      </w:rPr>
      <w:drawing>
        <wp:anchor distT="0" distB="0" distL="114300" distR="114300" simplePos="0" relativeHeight="251659264" behindDoc="0" locked="1" layoutInCell="1" allowOverlap="1" wp14:anchorId="55FE632E" wp14:editId="27ED851D">
          <wp:simplePos x="0" y="0"/>
          <wp:positionH relativeFrom="page">
            <wp:posOffset>9525</wp:posOffset>
          </wp:positionH>
          <wp:positionV relativeFrom="page">
            <wp:posOffset>0</wp:posOffset>
          </wp:positionV>
          <wp:extent cx="7810500" cy="1943100"/>
          <wp:effectExtent l="0" t="0" r="0" b="0"/>
          <wp:wrapNone/>
          <wp:docPr id="3" name="Picture 3" descr="letterhead-cmyk-blank-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tterhead-cmyk-blank-hea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10500" cy="19431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FEF39B" w14:textId="0982322F" w:rsidR="00AC02F4" w:rsidRPr="00AC02F4" w:rsidRDefault="00617E37" w:rsidP="00617E37">
    <w:pPr>
      <w:rPr>
        <w:rFonts w:asciiTheme="minorHAnsi" w:hAnsiTheme="minorHAnsi"/>
        <w:sz w:val="22"/>
        <w:szCs w:val="22"/>
      </w:rPr>
    </w:pPr>
    <w:r>
      <w:rPr>
        <w:noProof/>
      </w:rPr>
      <w:drawing>
        <wp:anchor distT="0" distB="0" distL="114300" distR="114300" simplePos="0" relativeHeight="251661312" behindDoc="0" locked="1" layoutInCell="1" allowOverlap="1" wp14:anchorId="6E46207A" wp14:editId="531F6BB8">
          <wp:simplePos x="0" y="0"/>
          <wp:positionH relativeFrom="page">
            <wp:align>left</wp:align>
          </wp:positionH>
          <wp:positionV relativeFrom="page">
            <wp:align>top</wp:align>
          </wp:positionV>
          <wp:extent cx="7810500" cy="1943100"/>
          <wp:effectExtent l="0" t="0" r="0" b="0"/>
          <wp:wrapNone/>
          <wp:docPr id="4" name="Picture 4" descr="letterhead-cmyk-blank-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tterhead-cmyk-blank-hea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10500" cy="19431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F2557B"/>
    <w:multiLevelType w:val="hybridMultilevel"/>
    <w:tmpl w:val="79B6A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85023"/>
    <w:multiLevelType w:val="hybridMultilevel"/>
    <w:tmpl w:val="D77402EE"/>
    <w:lvl w:ilvl="0" w:tplc="FC9C79DE">
      <w:start w:val="1"/>
      <w:numFmt w:val="decimal"/>
      <w:lvlText w:val="%1."/>
      <w:lvlJc w:val="left"/>
      <w:pPr>
        <w:ind w:left="1830" w:hanging="390"/>
      </w:pPr>
      <w:rPr>
        <w:rFonts w:hint="default"/>
      </w:rPr>
    </w:lvl>
    <w:lvl w:ilvl="1" w:tplc="E8023B80">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F4D3A3F"/>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0E43E98"/>
    <w:multiLevelType w:val="hybridMultilevel"/>
    <w:tmpl w:val="0D6C4066"/>
    <w:lvl w:ilvl="0" w:tplc="CD62DDF8">
      <w:start w:val="1"/>
      <w:numFmt w:val="bullet"/>
      <w:lvlText w:val=""/>
      <w:lvlJc w:val="left"/>
      <w:pPr>
        <w:ind w:left="360" w:hanging="360"/>
      </w:pPr>
      <w:rPr>
        <w:rFonts w:ascii="Wingdings" w:hAnsi="Wingdings"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4" w15:restartNumberingAfterBreak="0">
    <w:nsid w:val="1995320B"/>
    <w:multiLevelType w:val="hybridMultilevel"/>
    <w:tmpl w:val="B23AF55E"/>
    <w:lvl w:ilvl="0" w:tplc="0409000F">
      <w:start w:val="1"/>
      <w:numFmt w:val="decimal"/>
      <w:lvlText w:val="%1."/>
      <w:lvlJc w:val="left"/>
      <w:pPr>
        <w:ind w:left="720" w:hanging="360"/>
      </w:pPr>
      <w:rPr>
        <w:rFonts w:hint="default"/>
      </w:rPr>
    </w:lvl>
    <w:lvl w:ilvl="1" w:tplc="B4A84576">
      <w:start w:val="1"/>
      <w:numFmt w:val="lowerLetter"/>
      <w:lvlText w:val="%2."/>
      <w:lvlJc w:val="left"/>
      <w:pPr>
        <w:ind w:left="1440" w:hanging="360"/>
      </w:pPr>
      <w:rPr>
        <w:color w:val="808080" w:themeColor="background1" w:themeShade="8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F94417"/>
    <w:multiLevelType w:val="hybridMultilevel"/>
    <w:tmpl w:val="4152564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C8238E3"/>
    <w:multiLevelType w:val="hybridMultilevel"/>
    <w:tmpl w:val="6500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F75748"/>
    <w:multiLevelType w:val="hybridMultilevel"/>
    <w:tmpl w:val="941C76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571C8E"/>
    <w:multiLevelType w:val="hybridMultilevel"/>
    <w:tmpl w:val="3DECF252"/>
    <w:lvl w:ilvl="0" w:tplc="9DDEEBEA">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565017"/>
    <w:multiLevelType w:val="hybridMultilevel"/>
    <w:tmpl w:val="B4B292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ED0B05"/>
    <w:multiLevelType w:val="hybridMultilevel"/>
    <w:tmpl w:val="CF14BF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41D3F67"/>
    <w:multiLevelType w:val="hybridMultilevel"/>
    <w:tmpl w:val="EF1EF8C4"/>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17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50010E73"/>
    <w:multiLevelType w:val="hybridMultilevel"/>
    <w:tmpl w:val="21288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942AD3"/>
    <w:multiLevelType w:val="hybridMultilevel"/>
    <w:tmpl w:val="4AAAC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0805C8D"/>
    <w:multiLevelType w:val="hybridMultilevel"/>
    <w:tmpl w:val="2D489DBC"/>
    <w:lvl w:ilvl="0" w:tplc="AEA800B2">
      <w:start w:val="1"/>
      <w:numFmt w:val="decimal"/>
      <w:lvlText w:val="%1."/>
      <w:lvlJc w:val="left"/>
      <w:pPr>
        <w:ind w:left="2550" w:hanging="39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5" w15:restartNumberingAfterBreak="0">
    <w:nsid w:val="60B66095"/>
    <w:multiLevelType w:val="hybridMultilevel"/>
    <w:tmpl w:val="00D8C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4A569A"/>
    <w:multiLevelType w:val="hybridMultilevel"/>
    <w:tmpl w:val="54408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9C2731"/>
    <w:multiLevelType w:val="hybridMultilevel"/>
    <w:tmpl w:val="9A9C022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7B5135E0"/>
    <w:multiLevelType w:val="hybridMultilevel"/>
    <w:tmpl w:val="1000283E"/>
    <w:lvl w:ilvl="0" w:tplc="9DDEEBEA">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9E6920"/>
    <w:multiLevelType w:val="hybridMultilevel"/>
    <w:tmpl w:val="42EEFE1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11"/>
  </w:num>
  <w:num w:numId="2">
    <w:abstractNumId w:val="10"/>
  </w:num>
  <w:num w:numId="3">
    <w:abstractNumId w:val="2"/>
    <w:lvlOverride w:ilvl="0">
      <w:startOverride w:val="1"/>
    </w:lvlOverride>
  </w:num>
  <w:num w:numId="4">
    <w:abstractNumId w:val="16"/>
  </w:num>
  <w:num w:numId="5">
    <w:abstractNumId w:val="8"/>
  </w:num>
  <w:num w:numId="6">
    <w:abstractNumId w:val="18"/>
  </w:num>
  <w:num w:numId="7">
    <w:abstractNumId w:val="1"/>
  </w:num>
  <w:num w:numId="8">
    <w:abstractNumId w:val="14"/>
  </w:num>
  <w:num w:numId="9">
    <w:abstractNumId w:val="13"/>
  </w:num>
  <w:num w:numId="10">
    <w:abstractNumId w:val="6"/>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7"/>
  </w:num>
  <w:num w:numId="14">
    <w:abstractNumId w:val="5"/>
  </w:num>
  <w:num w:numId="15">
    <w:abstractNumId w:val="12"/>
  </w:num>
  <w:num w:numId="16">
    <w:abstractNumId w:val="0"/>
  </w:num>
  <w:num w:numId="17">
    <w:abstractNumId w:val="4"/>
  </w:num>
  <w:num w:numId="18">
    <w:abstractNumId w:val="9"/>
  </w:num>
  <w:num w:numId="19">
    <w:abstractNumId w:val="15"/>
  </w:num>
  <w:num w:numId="20">
    <w:abstractNumId w:val="19"/>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542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18B4"/>
    <w:rsid w:val="0000117D"/>
    <w:rsid w:val="00004AC7"/>
    <w:rsid w:val="00021BBA"/>
    <w:rsid w:val="00024402"/>
    <w:rsid w:val="00025DCB"/>
    <w:rsid w:val="0002764D"/>
    <w:rsid w:val="000468B8"/>
    <w:rsid w:val="00046A50"/>
    <w:rsid w:val="000502D1"/>
    <w:rsid w:val="000512EB"/>
    <w:rsid w:val="000523A1"/>
    <w:rsid w:val="00053780"/>
    <w:rsid w:val="00064608"/>
    <w:rsid w:val="00066F02"/>
    <w:rsid w:val="00073577"/>
    <w:rsid w:val="000735E1"/>
    <w:rsid w:val="000756B6"/>
    <w:rsid w:val="00080F9B"/>
    <w:rsid w:val="000819BB"/>
    <w:rsid w:val="00087E9F"/>
    <w:rsid w:val="00090898"/>
    <w:rsid w:val="00092354"/>
    <w:rsid w:val="000934A6"/>
    <w:rsid w:val="000936B9"/>
    <w:rsid w:val="00097779"/>
    <w:rsid w:val="000A2A3B"/>
    <w:rsid w:val="000A40D7"/>
    <w:rsid w:val="000A54FB"/>
    <w:rsid w:val="000A5BB3"/>
    <w:rsid w:val="000B2B2A"/>
    <w:rsid w:val="000B4824"/>
    <w:rsid w:val="000B6420"/>
    <w:rsid w:val="000C36BB"/>
    <w:rsid w:val="000C76D1"/>
    <w:rsid w:val="000E43B9"/>
    <w:rsid w:val="000E6ED9"/>
    <w:rsid w:val="000F02E2"/>
    <w:rsid w:val="000F1FC7"/>
    <w:rsid w:val="000F635E"/>
    <w:rsid w:val="00105282"/>
    <w:rsid w:val="00106B97"/>
    <w:rsid w:val="00112769"/>
    <w:rsid w:val="00122F30"/>
    <w:rsid w:val="00123589"/>
    <w:rsid w:val="00123AD7"/>
    <w:rsid w:val="00136CB2"/>
    <w:rsid w:val="00137875"/>
    <w:rsid w:val="001412A1"/>
    <w:rsid w:val="001455EA"/>
    <w:rsid w:val="00145C9D"/>
    <w:rsid w:val="00153B9E"/>
    <w:rsid w:val="001601B7"/>
    <w:rsid w:val="00161E09"/>
    <w:rsid w:val="001641F2"/>
    <w:rsid w:val="001653B4"/>
    <w:rsid w:val="00171E11"/>
    <w:rsid w:val="0017611E"/>
    <w:rsid w:val="00185816"/>
    <w:rsid w:val="00187C5B"/>
    <w:rsid w:val="00187CA3"/>
    <w:rsid w:val="001952A0"/>
    <w:rsid w:val="001A05A9"/>
    <w:rsid w:val="001A1568"/>
    <w:rsid w:val="001A43D7"/>
    <w:rsid w:val="001A6016"/>
    <w:rsid w:val="001A7B05"/>
    <w:rsid w:val="001B03F9"/>
    <w:rsid w:val="001B6544"/>
    <w:rsid w:val="001B68A3"/>
    <w:rsid w:val="001C08FD"/>
    <w:rsid w:val="001C35F5"/>
    <w:rsid w:val="001C416E"/>
    <w:rsid w:val="001C4633"/>
    <w:rsid w:val="001D4D4B"/>
    <w:rsid w:val="001D774F"/>
    <w:rsid w:val="001E118F"/>
    <w:rsid w:val="001E7384"/>
    <w:rsid w:val="001E7FFC"/>
    <w:rsid w:val="001F0BBD"/>
    <w:rsid w:val="001F1E76"/>
    <w:rsid w:val="001F48E4"/>
    <w:rsid w:val="001F4F8A"/>
    <w:rsid w:val="001F624C"/>
    <w:rsid w:val="00211877"/>
    <w:rsid w:val="0022286D"/>
    <w:rsid w:val="0022344D"/>
    <w:rsid w:val="00226E12"/>
    <w:rsid w:val="00227AD6"/>
    <w:rsid w:val="00227B49"/>
    <w:rsid w:val="002333FA"/>
    <w:rsid w:val="00234727"/>
    <w:rsid w:val="00244740"/>
    <w:rsid w:val="00246D49"/>
    <w:rsid w:val="00246D6D"/>
    <w:rsid w:val="0025256B"/>
    <w:rsid w:val="00257A32"/>
    <w:rsid w:val="002631F9"/>
    <w:rsid w:val="00265677"/>
    <w:rsid w:val="0026594E"/>
    <w:rsid w:val="00266B87"/>
    <w:rsid w:val="0026703B"/>
    <w:rsid w:val="00267191"/>
    <w:rsid w:val="002705FA"/>
    <w:rsid w:val="0027386A"/>
    <w:rsid w:val="00275C3D"/>
    <w:rsid w:val="00280660"/>
    <w:rsid w:val="0028157C"/>
    <w:rsid w:val="00282F1D"/>
    <w:rsid w:val="00283106"/>
    <w:rsid w:val="00285CE0"/>
    <w:rsid w:val="00296427"/>
    <w:rsid w:val="00296A20"/>
    <w:rsid w:val="00296A57"/>
    <w:rsid w:val="002A384A"/>
    <w:rsid w:val="002A3B0A"/>
    <w:rsid w:val="002A40A8"/>
    <w:rsid w:val="002A7A4E"/>
    <w:rsid w:val="002B4C11"/>
    <w:rsid w:val="002C4631"/>
    <w:rsid w:val="002C48F2"/>
    <w:rsid w:val="002E1F44"/>
    <w:rsid w:val="002E2047"/>
    <w:rsid w:val="002E7A30"/>
    <w:rsid w:val="002F3BED"/>
    <w:rsid w:val="002F4817"/>
    <w:rsid w:val="0030184A"/>
    <w:rsid w:val="00302E08"/>
    <w:rsid w:val="003055A8"/>
    <w:rsid w:val="00305AEB"/>
    <w:rsid w:val="00313724"/>
    <w:rsid w:val="003166E2"/>
    <w:rsid w:val="00320137"/>
    <w:rsid w:val="003249E5"/>
    <w:rsid w:val="003326E1"/>
    <w:rsid w:val="003336E9"/>
    <w:rsid w:val="00352ECA"/>
    <w:rsid w:val="003606D9"/>
    <w:rsid w:val="00361522"/>
    <w:rsid w:val="00362F20"/>
    <w:rsid w:val="00365545"/>
    <w:rsid w:val="00367A50"/>
    <w:rsid w:val="0037069D"/>
    <w:rsid w:val="00372164"/>
    <w:rsid w:val="00372DAA"/>
    <w:rsid w:val="00380940"/>
    <w:rsid w:val="0038236D"/>
    <w:rsid w:val="003839D9"/>
    <w:rsid w:val="003868EB"/>
    <w:rsid w:val="00393220"/>
    <w:rsid w:val="003945D1"/>
    <w:rsid w:val="003962A2"/>
    <w:rsid w:val="003977B2"/>
    <w:rsid w:val="003A0151"/>
    <w:rsid w:val="003A04EF"/>
    <w:rsid w:val="003A30B8"/>
    <w:rsid w:val="003A589E"/>
    <w:rsid w:val="003A5E1A"/>
    <w:rsid w:val="003B03CE"/>
    <w:rsid w:val="003B5295"/>
    <w:rsid w:val="003C227B"/>
    <w:rsid w:val="003C37AC"/>
    <w:rsid w:val="003C438F"/>
    <w:rsid w:val="003D4C95"/>
    <w:rsid w:val="003D71B2"/>
    <w:rsid w:val="003D7FC1"/>
    <w:rsid w:val="003E0D39"/>
    <w:rsid w:val="003E0D89"/>
    <w:rsid w:val="003E3D89"/>
    <w:rsid w:val="003E6582"/>
    <w:rsid w:val="003F3F4A"/>
    <w:rsid w:val="003F5C7B"/>
    <w:rsid w:val="003F6B09"/>
    <w:rsid w:val="00404B16"/>
    <w:rsid w:val="0040606A"/>
    <w:rsid w:val="0040699E"/>
    <w:rsid w:val="00407C11"/>
    <w:rsid w:val="00424689"/>
    <w:rsid w:val="00431EB8"/>
    <w:rsid w:val="0044176B"/>
    <w:rsid w:val="00441D35"/>
    <w:rsid w:val="00447B01"/>
    <w:rsid w:val="004503F3"/>
    <w:rsid w:val="004544BD"/>
    <w:rsid w:val="00454BA4"/>
    <w:rsid w:val="004552B1"/>
    <w:rsid w:val="00456968"/>
    <w:rsid w:val="00457856"/>
    <w:rsid w:val="00460D15"/>
    <w:rsid w:val="00462FB5"/>
    <w:rsid w:val="00464A63"/>
    <w:rsid w:val="004666EA"/>
    <w:rsid w:val="004736AA"/>
    <w:rsid w:val="0047398E"/>
    <w:rsid w:val="00474A7D"/>
    <w:rsid w:val="00477DAB"/>
    <w:rsid w:val="0048371A"/>
    <w:rsid w:val="00484E89"/>
    <w:rsid w:val="00491F6B"/>
    <w:rsid w:val="00492C59"/>
    <w:rsid w:val="004A06A3"/>
    <w:rsid w:val="004A6E4E"/>
    <w:rsid w:val="004B5E3E"/>
    <w:rsid w:val="004B6480"/>
    <w:rsid w:val="004B7B31"/>
    <w:rsid w:val="004C11BB"/>
    <w:rsid w:val="004C2C71"/>
    <w:rsid w:val="004D258C"/>
    <w:rsid w:val="004D5B8F"/>
    <w:rsid w:val="004D6DEE"/>
    <w:rsid w:val="004F0879"/>
    <w:rsid w:val="004F0CB5"/>
    <w:rsid w:val="004F5D60"/>
    <w:rsid w:val="004F6403"/>
    <w:rsid w:val="004F6D60"/>
    <w:rsid w:val="00505BF3"/>
    <w:rsid w:val="005065E3"/>
    <w:rsid w:val="00514F24"/>
    <w:rsid w:val="00515237"/>
    <w:rsid w:val="005154A5"/>
    <w:rsid w:val="00516A8C"/>
    <w:rsid w:val="00517B90"/>
    <w:rsid w:val="00520CEA"/>
    <w:rsid w:val="00525B5E"/>
    <w:rsid w:val="00546F1D"/>
    <w:rsid w:val="00547434"/>
    <w:rsid w:val="00553104"/>
    <w:rsid w:val="00553326"/>
    <w:rsid w:val="00555904"/>
    <w:rsid w:val="0056325B"/>
    <w:rsid w:val="00575BD1"/>
    <w:rsid w:val="00575DE0"/>
    <w:rsid w:val="00575F94"/>
    <w:rsid w:val="00580517"/>
    <w:rsid w:val="005829CE"/>
    <w:rsid w:val="00585A89"/>
    <w:rsid w:val="00587B0C"/>
    <w:rsid w:val="00593D7A"/>
    <w:rsid w:val="005A1159"/>
    <w:rsid w:val="005A1246"/>
    <w:rsid w:val="005A2653"/>
    <w:rsid w:val="005A42DA"/>
    <w:rsid w:val="005B15CB"/>
    <w:rsid w:val="005B1D69"/>
    <w:rsid w:val="005B408A"/>
    <w:rsid w:val="005B5193"/>
    <w:rsid w:val="005B51B1"/>
    <w:rsid w:val="005B7F33"/>
    <w:rsid w:val="005C3D2C"/>
    <w:rsid w:val="005D2B16"/>
    <w:rsid w:val="005D476F"/>
    <w:rsid w:val="005D5DBC"/>
    <w:rsid w:val="005E0F97"/>
    <w:rsid w:val="005E1180"/>
    <w:rsid w:val="005E6CB9"/>
    <w:rsid w:val="005F3AC6"/>
    <w:rsid w:val="006023E8"/>
    <w:rsid w:val="00603FD3"/>
    <w:rsid w:val="0060525B"/>
    <w:rsid w:val="00605F21"/>
    <w:rsid w:val="00607F19"/>
    <w:rsid w:val="00611063"/>
    <w:rsid w:val="00611740"/>
    <w:rsid w:val="00617E37"/>
    <w:rsid w:val="006202E2"/>
    <w:rsid w:val="00621F75"/>
    <w:rsid w:val="006239A4"/>
    <w:rsid w:val="00627032"/>
    <w:rsid w:val="00630B4E"/>
    <w:rsid w:val="006520DF"/>
    <w:rsid w:val="006522A8"/>
    <w:rsid w:val="00655932"/>
    <w:rsid w:val="006618C3"/>
    <w:rsid w:val="00665433"/>
    <w:rsid w:val="00671016"/>
    <w:rsid w:val="00671551"/>
    <w:rsid w:val="00675255"/>
    <w:rsid w:val="0068157E"/>
    <w:rsid w:val="00683769"/>
    <w:rsid w:val="00684443"/>
    <w:rsid w:val="00684FC1"/>
    <w:rsid w:val="00686316"/>
    <w:rsid w:val="00687E77"/>
    <w:rsid w:val="00695420"/>
    <w:rsid w:val="006B5BF3"/>
    <w:rsid w:val="006B6E4C"/>
    <w:rsid w:val="006B798A"/>
    <w:rsid w:val="006C0343"/>
    <w:rsid w:val="006C4446"/>
    <w:rsid w:val="006C5CD4"/>
    <w:rsid w:val="006D5E6A"/>
    <w:rsid w:val="006E0517"/>
    <w:rsid w:val="006E384A"/>
    <w:rsid w:val="006F13C9"/>
    <w:rsid w:val="006F3C77"/>
    <w:rsid w:val="00711BFF"/>
    <w:rsid w:val="00712969"/>
    <w:rsid w:val="00722245"/>
    <w:rsid w:val="00722358"/>
    <w:rsid w:val="00722504"/>
    <w:rsid w:val="007232B0"/>
    <w:rsid w:val="007438B9"/>
    <w:rsid w:val="007504D4"/>
    <w:rsid w:val="00754FBA"/>
    <w:rsid w:val="00755743"/>
    <w:rsid w:val="00757AF7"/>
    <w:rsid w:val="007600F2"/>
    <w:rsid w:val="00763BC1"/>
    <w:rsid w:val="007653A6"/>
    <w:rsid w:val="00765AF0"/>
    <w:rsid w:val="0077193E"/>
    <w:rsid w:val="00771F70"/>
    <w:rsid w:val="00772DEE"/>
    <w:rsid w:val="00773C25"/>
    <w:rsid w:val="00776F4B"/>
    <w:rsid w:val="00783A02"/>
    <w:rsid w:val="00783AF3"/>
    <w:rsid w:val="00786AE7"/>
    <w:rsid w:val="00786FD6"/>
    <w:rsid w:val="00787904"/>
    <w:rsid w:val="00796721"/>
    <w:rsid w:val="007A3608"/>
    <w:rsid w:val="007A4343"/>
    <w:rsid w:val="007A783C"/>
    <w:rsid w:val="007B2710"/>
    <w:rsid w:val="007C2F47"/>
    <w:rsid w:val="007C47CD"/>
    <w:rsid w:val="007D4607"/>
    <w:rsid w:val="007D4E95"/>
    <w:rsid w:val="007E08A5"/>
    <w:rsid w:val="007E0D7C"/>
    <w:rsid w:val="007E23C2"/>
    <w:rsid w:val="007E26DF"/>
    <w:rsid w:val="007E715B"/>
    <w:rsid w:val="007F1155"/>
    <w:rsid w:val="007F1BB3"/>
    <w:rsid w:val="007F33E5"/>
    <w:rsid w:val="007F69A0"/>
    <w:rsid w:val="007F7EB3"/>
    <w:rsid w:val="008003A4"/>
    <w:rsid w:val="0080040D"/>
    <w:rsid w:val="008069D7"/>
    <w:rsid w:val="00807ED6"/>
    <w:rsid w:val="008119C3"/>
    <w:rsid w:val="00811FA7"/>
    <w:rsid w:val="00814D60"/>
    <w:rsid w:val="00816B93"/>
    <w:rsid w:val="00820702"/>
    <w:rsid w:val="00825F95"/>
    <w:rsid w:val="008303BF"/>
    <w:rsid w:val="00833FF1"/>
    <w:rsid w:val="0083796A"/>
    <w:rsid w:val="00840421"/>
    <w:rsid w:val="00844327"/>
    <w:rsid w:val="00847670"/>
    <w:rsid w:val="00851A0C"/>
    <w:rsid w:val="00857B53"/>
    <w:rsid w:val="008620CD"/>
    <w:rsid w:val="00863AF6"/>
    <w:rsid w:val="0086467A"/>
    <w:rsid w:val="008673EE"/>
    <w:rsid w:val="0087031D"/>
    <w:rsid w:val="008717DD"/>
    <w:rsid w:val="00876EAC"/>
    <w:rsid w:val="00880C92"/>
    <w:rsid w:val="0088665B"/>
    <w:rsid w:val="00890D21"/>
    <w:rsid w:val="00896430"/>
    <w:rsid w:val="008A03FF"/>
    <w:rsid w:val="008A1927"/>
    <w:rsid w:val="008A37A5"/>
    <w:rsid w:val="008B174D"/>
    <w:rsid w:val="008B52D7"/>
    <w:rsid w:val="008C0669"/>
    <w:rsid w:val="008C22FD"/>
    <w:rsid w:val="008C4F4C"/>
    <w:rsid w:val="008D02FB"/>
    <w:rsid w:val="008D338C"/>
    <w:rsid w:val="008E2FAB"/>
    <w:rsid w:val="008E72C3"/>
    <w:rsid w:val="008E797D"/>
    <w:rsid w:val="008F192D"/>
    <w:rsid w:val="008F728C"/>
    <w:rsid w:val="00900E1E"/>
    <w:rsid w:val="0090226F"/>
    <w:rsid w:val="00905BB3"/>
    <w:rsid w:val="00906246"/>
    <w:rsid w:val="00912DB7"/>
    <w:rsid w:val="009143EC"/>
    <w:rsid w:val="009158C5"/>
    <w:rsid w:val="00915C84"/>
    <w:rsid w:val="00916058"/>
    <w:rsid w:val="00916682"/>
    <w:rsid w:val="00920968"/>
    <w:rsid w:val="0092243D"/>
    <w:rsid w:val="0092595B"/>
    <w:rsid w:val="00925DDC"/>
    <w:rsid w:val="00926B81"/>
    <w:rsid w:val="00931DE2"/>
    <w:rsid w:val="00933DD7"/>
    <w:rsid w:val="0093503D"/>
    <w:rsid w:val="009437D3"/>
    <w:rsid w:val="00943C56"/>
    <w:rsid w:val="00950491"/>
    <w:rsid w:val="00972502"/>
    <w:rsid w:val="009810B1"/>
    <w:rsid w:val="009824F7"/>
    <w:rsid w:val="009863FF"/>
    <w:rsid w:val="0099037A"/>
    <w:rsid w:val="009916DB"/>
    <w:rsid w:val="009926B0"/>
    <w:rsid w:val="009A2B60"/>
    <w:rsid w:val="009A6554"/>
    <w:rsid w:val="009A669C"/>
    <w:rsid w:val="009B04CC"/>
    <w:rsid w:val="009C18B4"/>
    <w:rsid w:val="009C235C"/>
    <w:rsid w:val="009E17ED"/>
    <w:rsid w:val="009E298A"/>
    <w:rsid w:val="009E5348"/>
    <w:rsid w:val="009E6DA2"/>
    <w:rsid w:val="009F10D7"/>
    <w:rsid w:val="009F35D6"/>
    <w:rsid w:val="00A1015C"/>
    <w:rsid w:val="00A1036B"/>
    <w:rsid w:val="00A13F97"/>
    <w:rsid w:val="00A27595"/>
    <w:rsid w:val="00A3023C"/>
    <w:rsid w:val="00A314E8"/>
    <w:rsid w:val="00A34740"/>
    <w:rsid w:val="00A35345"/>
    <w:rsid w:val="00A43242"/>
    <w:rsid w:val="00A449CF"/>
    <w:rsid w:val="00A54810"/>
    <w:rsid w:val="00A57A42"/>
    <w:rsid w:val="00A65106"/>
    <w:rsid w:val="00A7138F"/>
    <w:rsid w:val="00A72453"/>
    <w:rsid w:val="00A72FBA"/>
    <w:rsid w:val="00A749C4"/>
    <w:rsid w:val="00A8148A"/>
    <w:rsid w:val="00A822E6"/>
    <w:rsid w:val="00A85004"/>
    <w:rsid w:val="00A870B4"/>
    <w:rsid w:val="00A92B39"/>
    <w:rsid w:val="00A93413"/>
    <w:rsid w:val="00A93B6E"/>
    <w:rsid w:val="00AA399B"/>
    <w:rsid w:val="00AA523A"/>
    <w:rsid w:val="00AB073F"/>
    <w:rsid w:val="00AB0A52"/>
    <w:rsid w:val="00AB0E05"/>
    <w:rsid w:val="00AB35FD"/>
    <w:rsid w:val="00AB4151"/>
    <w:rsid w:val="00AB6315"/>
    <w:rsid w:val="00AB7512"/>
    <w:rsid w:val="00AC02F4"/>
    <w:rsid w:val="00AC40F4"/>
    <w:rsid w:val="00AD35AC"/>
    <w:rsid w:val="00AE5C1C"/>
    <w:rsid w:val="00AF0B71"/>
    <w:rsid w:val="00AF48E0"/>
    <w:rsid w:val="00AF63F7"/>
    <w:rsid w:val="00AF704A"/>
    <w:rsid w:val="00B03011"/>
    <w:rsid w:val="00B0388D"/>
    <w:rsid w:val="00B06720"/>
    <w:rsid w:val="00B13B97"/>
    <w:rsid w:val="00B21998"/>
    <w:rsid w:val="00B22210"/>
    <w:rsid w:val="00B24EC8"/>
    <w:rsid w:val="00B252F4"/>
    <w:rsid w:val="00B308BF"/>
    <w:rsid w:val="00B30EFE"/>
    <w:rsid w:val="00B31D17"/>
    <w:rsid w:val="00B33D67"/>
    <w:rsid w:val="00B363DF"/>
    <w:rsid w:val="00B42F86"/>
    <w:rsid w:val="00B43ADB"/>
    <w:rsid w:val="00B43E61"/>
    <w:rsid w:val="00B501E2"/>
    <w:rsid w:val="00B56652"/>
    <w:rsid w:val="00B56C08"/>
    <w:rsid w:val="00B62F6A"/>
    <w:rsid w:val="00B67B66"/>
    <w:rsid w:val="00B714D1"/>
    <w:rsid w:val="00B77D2D"/>
    <w:rsid w:val="00B8035D"/>
    <w:rsid w:val="00B85D9B"/>
    <w:rsid w:val="00B87406"/>
    <w:rsid w:val="00B87CEC"/>
    <w:rsid w:val="00B90495"/>
    <w:rsid w:val="00B904F0"/>
    <w:rsid w:val="00B93A24"/>
    <w:rsid w:val="00B9425A"/>
    <w:rsid w:val="00B953FB"/>
    <w:rsid w:val="00B95BE8"/>
    <w:rsid w:val="00B95E33"/>
    <w:rsid w:val="00B97A1D"/>
    <w:rsid w:val="00BA1F77"/>
    <w:rsid w:val="00BB4842"/>
    <w:rsid w:val="00BB4F87"/>
    <w:rsid w:val="00BB73AE"/>
    <w:rsid w:val="00BC1429"/>
    <w:rsid w:val="00BC2D36"/>
    <w:rsid w:val="00BC35BD"/>
    <w:rsid w:val="00BC4044"/>
    <w:rsid w:val="00BC5AFD"/>
    <w:rsid w:val="00BC5D60"/>
    <w:rsid w:val="00BC665B"/>
    <w:rsid w:val="00BD1903"/>
    <w:rsid w:val="00BD60A6"/>
    <w:rsid w:val="00BD6C2C"/>
    <w:rsid w:val="00BD7563"/>
    <w:rsid w:val="00BE06B3"/>
    <w:rsid w:val="00BF1B7F"/>
    <w:rsid w:val="00BF2A1E"/>
    <w:rsid w:val="00BF42A4"/>
    <w:rsid w:val="00BF5F93"/>
    <w:rsid w:val="00BF6C16"/>
    <w:rsid w:val="00BF75D5"/>
    <w:rsid w:val="00C014B3"/>
    <w:rsid w:val="00C02700"/>
    <w:rsid w:val="00C06CDB"/>
    <w:rsid w:val="00C11DF8"/>
    <w:rsid w:val="00C121E9"/>
    <w:rsid w:val="00C16997"/>
    <w:rsid w:val="00C211AD"/>
    <w:rsid w:val="00C3014E"/>
    <w:rsid w:val="00C31B9A"/>
    <w:rsid w:val="00C32B72"/>
    <w:rsid w:val="00C3765F"/>
    <w:rsid w:val="00C378C8"/>
    <w:rsid w:val="00C42601"/>
    <w:rsid w:val="00C45EDE"/>
    <w:rsid w:val="00C60F05"/>
    <w:rsid w:val="00C61B68"/>
    <w:rsid w:val="00C62A51"/>
    <w:rsid w:val="00C65150"/>
    <w:rsid w:val="00C65C75"/>
    <w:rsid w:val="00C673A1"/>
    <w:rsid w:val="00C7471D"/>
    <w:rsid w:val="00C7606E"/>
    <w:rsid w:val="00C77826"/>
    <w:rsid w:val="00C87573"/>
    <w:rsid w:val="00C87B1A"/>
    <w:rsid w:val="00CA1116"/>
    <w:rsid w:val="00CA18BD"/>
    <w:rsid w:val="00CA2092"/>
    <w:rsid w:val="00CA4048"/>
    <w:rsid w:val="00CA65E8"/>
    <w:rsid w:val="00CB0A02"/>
    <w:rsid w:val="00CB3784"/>
    <w:rsid w:val="00CB77AE"/>
    <w:rsid w:val="00CB7F55"/>
    <w:rsid w:val="00CC0AE6"/>
    <w:rsid w:val="00CC0BA2"/>
    <w:rsid w:val="00CC670C"/>
    <w:rsid w:val="00CC723B"/>
    <w:rsid w:val="00CD7DF8"/>
    <w:rsid w:val="00CE0A62"/>
    <w:rsid w:val="00CE279E"/>
    <w:rsid w:val="00CE3106"/>
    <w:rsid w:val="00CF4C99"/>
    <w:rsid w:val="00D011C1"/>
    <w:rsid w:val="00D04C91"/>
    <w:rsid w:val="00D0660B"/>
    <w:rsid w:val="00D11663"/>
    <w:rsid w:val="00D12313"/>
    <w:rsid w:val="00D12E36"/>
    <w:rsid w:val="00D136BB"/>
    <w:rsid w:val="00D14F67"/>
    <w:rsid w:val="00D201F3"/>
    <w:rsid w:val="00D33FB0"/>
    <w:rsid w:val="00D355DE"/>
    <w:rsid w:val="00D366B3"/>
    <w:rsid w:val="00D47446"/>
    <w:rsid w:val="00D47B06"/>
    <w:rsid w:val="00D503A5"/>
    <w:rsid w:val="00D513F1"/>
    <w:rsid w:val="00D5306C"/>
    <w:rsid w:val="00D5528B"/>
    <w:rsid w:val="00D56916"/>
    <w:rsid w:val="00D57676"/>
    <w:rsid w:val="00D63EBF"/>
    <w:rsid w:val="00D64EDC"/>
    <w:rsid w:val="00D660A3"/>
    <w:rsid w:val="00D706E6"/>
    <w:rsid w:val="00D70F25"/>
    <w:rsid w:val="00D7277E"/>
    <w:rsid w:val="00D72D7A"/>
    <w:rsid w:val="00D734B7"/>
    <w:rsid w:val="00D76190"/>
    <w:rsid w:val="00D76D66"/>
    <w:rsid w:val="00D85FBF"/>
    <w:rsid w:val="00D8760D"/>
    <w:rsid w:val="00D930F2"/>
    <w:rsid w:val="00D963F9"/>
    <w:rsid w:val="00D9681C"/>
    <w:rsid w:val="00DA1F63"/>
    <w:rsid w:val="00DA5E6F"/>
    <w:rsid w:val="00DB3952"/>
    <w:rsid w:val="00DC0004"/>
    <w:rsid w:val="00DC24E4"/>
    <w:rsid w:val="00DD0BBC"/>
    <w:rsid w:val="00DD44AA"/>
    <w:rsid w:val="00DE1C72"/>
    <w:rsid w:val="00DE7637"/>
    <w:rsid w:val="00DF127B"/>
    <w:rsid w:val="00DF374A"/>
    <w:rsid w:val="00DF629F"/>
    <w:rsid w:val="00DF69FE"/>
    <w:rsid w:val="00E035CF"/>
    <w:rsid w:val="00E06EC2"/>
    <w:rsid w:val="00E07C64"/>
    <w:rsid w:val="00E10F2E"/>
    <w:rsid w:val="00E14274"/>
    <w:rsid w:val="00E147FA"/>
    <w:rsid w:val="00E15215"/>
    <w:rsid w:val="00E20D4B"/>
    <w:rsid w:val="00E214E4"/>
    <w:rsid w:val="00E22199"/>
    <w:rsid w:val="00E22A10"/>
    <w:rsid w:val="00E23BA6"/>
    <w:rsid w:val="00E23CF4"/>
    <w:rsid w:val="00E23D46"/>
    <w:rsid w:val="00E27987"/>
    <w:rsid w:val="00E309DF"/>
    <w:rsid w:val="00E30F4D"/>
    <w:rsid w:val="00E33C11"/>
    <w:rsid w:val="00E33F65"/>
    <w:rsid w:val="00E34B77"/>
    <w:rsid w:val="00E36BA7"/>
    <w:rsid w:val="00E40C44"/>
    <w:rsid w:val="00E41E19"/>
    <w:rsid w:val="00E43242"/>
    <w:rsid w:val="00E4378A"/>
    <w:rsid w:val="00E44C30"/>
    <w:rsid w:val="00E47410"/>
    <w:rsid w:val="00E50707"/>
    <w:rsid w:val="00E507C8"/>
    <w:rsid w:val="00E61676"/>
    <w:rsid w:val="00E6199E"/>
    <w:rsid w:val="00E720C0"/>
    <w:rsid w:val="00E72658"/>
    <w:rsid w:val="00E76C45"/>
    <w:rsid w:val="00E82CF3"/>
    <w:rsid w:val="00E83875"/>
    <w:rsid w:val="00E869E8"/>
    <w:rsid w:val="00E91393"/>
    <w:rsid w:val="00E931D6"/>
    <w:rsid w:val="00E95C25"/>
    <w:rsid w:val="00EA348E"/>
    <w:rsid w:val="00EA61BB"/>
    <w:rsid w:val="00EB0E2C"/>
    <w:rsid w:val="00EB1254"/>
    <w:rsid w:val="00EB1F4C"/>
    <w:rsid w:val="00EB23A0"/>
    <w:rsid w:val="00EB35C4"/>
    <w:rsid w:val="00EC0596"/>
    <w:rsid w:val="00EC511C"/>
    <w:rsid w:val="00EC74B7"/>
    <w:rsid w:val="00ED139B"/>
    <w:rsid w:val="00ED1DF8"/>
    <w:rsid w:val="00EE05FF"/>
    <w:rsid w:val="00EF5B09"/>
    <w:rsid w:val="00F02640"/>
    <w:rsid w:val="00F031CF"/>
    <w:rsid w:val="00F1098B"/>
    <w:rsid w:val="00F10B8E"/>
    <w:rsid w:val="00F127D5"/>
    <w:rsid w:val="00F173C3"/>
    <w:rsid w:val="00F30409"/>
    <w:rsid w:val="00F31954"/>
    <w:rsid w:val="00F41FF1"/>
    <w:rsid w:val="00F42665"/>
    <w:rsid w:val="00F44696"/>
    <w:rsid w:val="00F467E4"/>
    <w:rsid w:val="00F52819"/>
    <w:rsid w:val="00F549C0"/>
    <w:rsid w:val="00F6247E"/>
    <w:rsid w:val="00F63C28"/>
    <w:rsid w:val="00F64869"/>
    <w:rsid w:val="00F72827"/>
    <w:rsid w:val="00F839FE"/>
    <w:rsid w:val="00F85866"/>
    <w:rsid w:val="00F91D60"/>
    <w:rsid w:val="00F92AF2"/>
    <w:rsid w:val="00F974FD"/>
    <w:rsid w:val="00F97E68"/>
    <w:rsid w:val="00F97F73"/>
    <w:rsid w:val="00FA2725"/>
    <w:rsid w:val="00FA3B1B"/>
    <w:rsid w:val="00FA436C"/>
    <w:rsid w:val="00FC4BF3"/>
    <w:rsid w:val="00FC5031"/>
    <w:rsid w:val="00FD0447"/>
    <w:rsid w:val="00FD16E6"/>
    <w:rsid w:val="00FD2E6E"/>
    <w:rsid w:val="00FD59EF"/>
    <w:rsid w:val="00FE14A5"/>
    <w:rsid w:val="00FE7721"/>
    <w:rsid w:val="00FF11C0"/>
    <w:rsid w:val="00FF124C"/>
    <w:rsid w:val="00FF546F"/>
    <w:rsid w:val="4107B9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4:docId w14:val="5505A54C"/>
  <w15:chartTrackingRefBased/>
  <w15:docId w15:val="{61F88E43-DF98-4229-B3A5-2C59BF099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2">
    <w:name w:val="heading 2"/>
    <w:basedOn w:val="Normal"/>
    <w:next w:val="Normal"/>
    <w:link w:val="Heading2Char"/>
    <w:uiPriority w:val="9"/>
    <w:unhideWhenUsed/>
    <w:qFormat/>
    <w:rsid w:val="00106B9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1015C"/>
    <w:pPr>
      <w:tabs>
        <w:tab w:val="center" w:pos="4320"/>
        <w:tab w:val="right" w:pos="8640"/>
      </w:tabs>
    </w:pPr>
  </w:style>
  <w:style w:type="paragraph" w:styleId="Footer">
    <w:name w:val="footer"/>
    <w:basedOn w:val="Normal"/>
    <w:rsid w:val="00A1015C"/>
    <w:pPr>
      <w:tabs>
        <w:tab w:val="center" w:pos="4320"/>
        <w:tab w:val="right" w:pos="8640"/>
      </w:tabs>
    </w:pPr>
  </w:style>
  <w:style w:type="paragraph" w:styleId="ListParagraph">
    <w:name w:val="List Paragraph"/>
    <w:basedOn w:val="Normal"/>
    <w:link w:val="ListParagraphChar"/>
    <w:uiPriority w:val="34"/>
    <w:qFormat/>
    <w:rsid w:val="00671016"/>
    <w:pPr>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rsid w:val="00671016"/>
    <w:rPr>
      <w:rFonts w:ascii="Calibri" w:eastAsia="Calibri" w:hAnsi="Calibri"/>
      <w:sz w:val="22"/>
      <w:szCs w:val="22"/>
    </w:rPr>
  </w:style>
  <w:style w:type="paragraph" w:customStyle="1" w:styleId="textstandard">
    <w:name w:val="text standard"/>
    <w:basedOn w:val="Normal"/>
    <w:rsid w:val="00671016"/>
    <w:pPr>
      <w:spacing w:line="252" w:lineRule="auto"/>
      <w:jc w:val="both"/>
    </w:pPr>
    <w:rPr>
      <w:rFonts w:ascii="Arial" w:hAnsi="Arial" w:cs="Arabic Transparent"/>
      <w:sz w:val="22"/>
      <w:lang w:val="en-GB" w:eastAsia="de-DE"/>
    </w:rPr>
  </w:style>
  <w:style w:type="paragraph" w:styleId="BodyText">
    <w:name w:val="Body Text"/>
    <w:basedOn w:val="Normal"/>
    <w:link w:val="BodyTextChar"/>
    <w:unhideWhenUsed/>
    <w:rsid w:val="006618C3"/>
    <w:pPr>
      <w:spacing w:after="220" w:line="180" w:lineRule="atLeast"/>
      <w:jc w:val="both"/>
    </w:pPr>
    <w:rPr>
      <w:rFonts w:ascii="Arial" w:hAnsi="Arial"/>
      <w:spacing w:val="-5"/>
      <w:sz w:val="20"/>
      <w:szCs w:val="20"/>
    </w:rPr>
  </w:style>
  <w:style w:type="character" w:customStyle="1" w:styleId="BodyTextChar">
    <w:name w:val="Body Text Char"/>
    <w:link w:val="BodyText"/>
    <w:rsid w:val="006618C3"/>
    <w:rPr>
      <w:rFonts w:ascii="Arial" w:hAnsi="Arial"/>
      <w:spacing w:val="-5"/>
    </w:rPr>
  </w:style>
  <w:style w:type="paragraph" w:styleId="FootnoteText">
    <w:name w:val="footnote text"/>
    <w:basedOn w:val="Normal"/>
    <w:link w:val="FootnoteTextChar"/>
    <w:uiPriority w:val="99"/>
    <w:unhideWhenUsed/>
    <w:rsid w:val="00C61B68"/>
    <w:rPr>
      <w:rFonts w:ascii="Calibri" w:eastAsia="Calibri" w:hAnsi="Calibri"/>
      <w:sz w:val="20"/>
      <w:szCs w:val="20"/>
    </w:rPr>
  </w:style>
  <w:style w:type="character" w:customStyle="1" w:styleId="FootnoteTextChar">
    <w:name w:val="Footnote Text Char"/>
    <w:link w:val="FootnoteText"/>
    <w:uiPriority w:val="99"/>
    <w:rsid w:val="00C61B68"/>
    <w:rPr>
      <w:rFonts w:ascii="Calibri" w:eastAsia="Calibri" w:hAnsi="Calibri"/>
    </w:rPr>
  </w:style>
  <w:style w:type="character" w:styleId="FootnoteReference">
    <w:name w:val="footnote reference"/>
    <w:uiPriority w:val="99"/>
    <w:unhideWhenUsed/>
    <w:rsid w:val="00C61B68"/>
    <w:rPr>
      <w:vertAlign w:val="superscript"/>
    </w:rPr>
  </w:style>
  <w:style w:type="paragraph" w:styleId="BalloonText">
    <w:name w:val="Balloon Text"/>
    <w:basedOn w:val="Normal"/>
    <w:link w:val="BalloonTextChar"/>
    <w:rsid w:val="00296A20"/>
    <w:rPr>
      <w:rFonts w:ascii="Segoe UI" w:hAnsi="Segoe UI" w:cs="Segoe UI"/>
      <w:sz w:val="18"/>
      <w:szCs w:val="18"/>
    </w:rPr>
  </w:style>
  <w:style w:type="character" w:customStyle="1" w:styleId="BalloonTextChar">
    <w:name w:val="Balloon Text Char"/>
    <w:basedOn w:val="DefaultParagraphFont"/>
    <w:link w:val="BalloonText"/>
    <w:rsid w:val="00296A20"/>
    <w:rPr>
      <w:rFonts w:ascii="Segoe UI" w:hAnsi="Segoe UI" w:cs="Segoe UI"/>
      <w:sz w:val="18"/>
      <w:szCs w:val="18"/>
    </w:rPr>
  </w:style>
  <w:style w:type="paragraph" w:customStyle="1" w:styleId="Default">
    <w:name w:val="Default"/>
    <w:rsid w:val="006520DF"/>
    <w:pPr>
      <w:autoSpaceDE w:val="0"/>
      <w:autoSpaceDN w:val="0"/>
      <w:adjustRightInd w:val="0"/>
    </w:pPr>
    <w:rPr>
      <w:color w:val="000000"/>
      <w:sz w:val="24"/>
      <w:szCs w:val="24"/>
    </w:rPr>
  </w:style>
  <w:style w:type="character" w:styleId="CommentReference">
    <w:name w:val="annotation reference"/>
    <w:basedOn w:val="DefaultParagraphFont"/>
    <w:rsid w:val="00F10B8E"/>
    <w:rPr>
      <w:sz w:val="16"/>
      <w:szCs w:val="16"/>
    </w:rPr>
  </w:style>
  <w:style w:type="paragraph" w:styleId="CommentText">
    <w:name w:val="annotation text"/>
    <w:basedOn w:val="Normal"/>
    <w:link w:val="CommentTextChar"/>
    <w:rsid w:val="00F10B8E"/>
    <w:rPr>
      <w:sz w:val="20"/>
      <w:szCs w:val="20"/>
    </w:rPr>
  </w:style>
  <w:style w:type="character" w:customStyle="1" w:styleId="CommentTextChar">
    <w:name w:val="Comment Text Char"/>
    <w:basedOn w:val="DefaultParagraphFont"/>
    <w:link w:val="CommentText"/>
    <w:rsid w:val="00F10B8E"/>
  </w:style>
  <w:style w:type="paragraph" w:styleId="CommentSubject">
    <w:name w:val="annotation subject"/>
    <w:basedOn w:val="CommentText"/>
    <w:next w:val="CommentText"/>
    <w:link w:val="CommentSubjectChar"/>
    <w:rsid w:val="00F10B8E"/>
    <w:rPr>
      <w:b/>
      <w:bCs/>
    </w:rPr>
  </w:style>
  <w:style w:type="character" w:customStyle="1" w:styleId="CommentSubjectChar">
    <w:name w:val="Comment Subject Char"/>
    <w:basedOn w:val="CommentTextChar"/>
    <w:link w:val="CommentSubject"/>
    <w:rsid w:val="00F10B8E"/>
    <w:rPr>
      <w:b/>
      <w:bCs/>
    </w:rPr>
  </w:style>
  <w:style w:type="character" w:customStyle="1" w:styleId="Heading2Char">
    <w:name w:val="Heading 2 Char"/>
    <w:basedOn w:val="DefaultParagraphFont"/>
    <w:link w:val="Heading2"/>
    <w:uiPriority w:val="9"/>
    <w:rsid w:val="00106B97"/>
    <w:rPr>
      <w:rFonts w:asciiTheme="majorHAnsi" w:eastAsiaTheme="majorEastAsia" w:hAnsiTheme="majorHAnsi" w:cstheme="majorBidi"/>
      <w:color w:val="2E74B5" w:themeColor="accent1" w:themeShade="BF"/>
      <w:sz w:val="26"/>
      <w:szCs w:val="26"/>
    </w:rPr>
  </w:style>
  <w:style w:type="character" w:styleId="Hyperlink">
    <w:name w:val="Hyperlink"/>
    <w:basedOn w:val="DefaultParagraphFont"/>
    <w:uiPriority w:val="99"/>
    <w:unhideWhenUsed/>
    <w:rsid w:val="00106B97"/>
    <w:rPr>
      <w:color w:val="0563C1" w:themeColor="hyperlink"/>
      <w:u w:val="single"/>
    </w:rPr>
  </w:style>
  <w:style w:type="paragraph" w:styleId="NoSpacing">
    <w:name w:val="No Spacing"/>
    <w:link w:val="NoSpacingChar"/>
    <w:uiPriority w:val="1"/>
    <w:qFormat/>
    <w:rsid w:val="00092354"/>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092354"/>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1188808">
      <w:bodyDiv w:val="1"/>
      <w:marLeft w:val="0"/>
      <w:marRight w:val="0"/>
      <w:marTop w:val="0"/>
      <w:marBottom w:val="0"/>
      <w:divBdr>
        <w:top w:val="none" w:sz="0" w:space="0" w:color="auto"/>
        <w:left w:val="none" w:sz="0" w:space="0" w:color="auto"/>
        <w:bottom w:val="none" w:sz="0" w:space="0" w:color="auto"/>
        <w:right w:val="none" w:sz="0" w:space="0" w:color="auto"/>
      </w:divBdr>
    </w:div>
    <w:div w:id="1003750440">
      <w:bodyDiv w:val="1"/>
      <w:marLeft w:val="0"/>
      <w:marRight w:val="0"/>
      <w:marTop w:val="0"/>
      <w:marBottom w:val="0"/>
      <w:divBdr>
        <w:top w:val="none" w:sz="0" w:space="0" w:color="auto"/>
        <w:left w:val="none" w:sz="0" w:space="0" w:color="auto"/>
        <w:bottom w:val="none" w:sz="0" w:space="0" w:color="auto"/>
        <w:right w:val="none" w:sz="0" w:space="0" w:color="auto"/>
      </w:divBdr>
    </w:div>
    <w:div w:id="1323896404">
      <w:bodyDiv w:val="1"/>
      <w:marLeft w:val="0"/>
      <w:marRight w:val="0"/>
      <w:marTop w:val="0"/>
      <w:marBottom w:val="0"/>
      <w:divBdr>
        <w:top w:val="none" w:sz="0" w:space="0" w:color="auto"/>
        <w:left w:val="none" w:sz="0" w:space="0" w:color="auto"/>
        <w:bottom w:val="none" w:sz="0" w:space="0" w:color="auto"/>
        <w:right w:val="none" w:sz="0" w:space="0" w:color="auto"/>
      </w:divBdr>
    </w:div>
    <w:div w:id="1392194325">
      <w:bodyDiv w:val="1"/>
      <w:marLeft w:val="0"/>
      <w:marRight w:val="0"/>
      <w:marTop w:val="0"/>
      <w:marBottom w:val="0"/>
      <w:divBdr>
        <w:top w:val="none" w:sz="0" w:space="0" w:color="auto"/>
        <w:left w:val="none" w:sz="0" w:space="0" w:color="auto"/>
        <w:bottom w:val="none" w:sz="0" w:space="0" w:color="auto"/>
        <w:right w:val="none" w:sz="0" w:space="0" w:color="auto"/>
      </w:divBdr>
    </w:div>
    <w:div w:id="1789885568">
      <w:bodyDiv w:val="1"/>
      <w:marLeft w:val="0"/>
      <w:marRight w:val="0"/>
      <w:marTop w:val="0"/>
      <w:marBottom w:val="0"/>
      <w:divBdr>
        <w:top w:val="none" w:sz="0" w:space="0" w:color="auto"/>
        <w:left w:val="none" w:sz="0" w:space="0" w:color="auto"/>
        <w:bottom w:val="none" w:sz="0" w:space="0" w:color="auto"/>
        <w:right w:val="none" w:sz="0" w:space="0" w:color="auto"/>
      </w:divBdr>
    </w:div>
    <w:div w:id="1922713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or xmlns="a70dbce6-eb9e-4ef0-9816-d10535489dc8" xsi:nil="true"/>
    <M_x0026_E_x0020_Document_x0020_Type xmlns="a70dbce6-eb9e-4ef0-9816-d10535489dc8">Other</M_x0026_E_x0020_Document_x0020_Type>
    <Compact_x0020_Quarter xmlns="a70dbce6-eb9e-4ef0-9816-d10535489dc8">Pre-EIF</Compact_x0020_Quarter>
    <IconOverlay xmlns="http://schemas.microsoft.com/sharepoint/v4" xsi:nil="true"/>
    <TaxCatchAll xmlns="fbc0044e-ca72-42e0-8fd2-96273d18e93a"/>
    <Contract_x0020_Number xmlns="a70dbce6-eb9e-4ef0-9816-d10535489dc8" xsi:nil="true"/>
    <Country xmlns="a70dbce6-eb9e-4ef0-9816-d10535489dc8">Other</Country>
    <Draft_x0020_Date xmlns="a70dbce6-eb9e-4ef0-9816-d10535489dc8" xsi:nil="true"/>
    <Version_x0020_NUmber xmlns="a70dbce6-eb9e-4ef0-9816-d10535489dc8" xsi:nil="true"/>
    <_dlc_DocId xmlns="d3b91ed5-3f36-4885-8f16-366304d6a523">ZNSTWXDCAFYN-28-3237</_dlc_DocId>
    <_dlc_DocIdUrl xmlns="d3b91ed5-3f36-4885-8f16-366304d6a523">
      <Url>http://intranet.mcc.gov/department/DPE/Team/ME/_layouts/DocIdRedir.aspx?ID=ZNSTWXDCAFYN-28-3237</Url>
      <Description>ZNSTWXDCAFYN-28-3237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A36C95972148D4496F2483124D49464" ma:contentTypeVersion="16" ma:contentTypeDescription="Create a new document." ma:contentTypeScope="" ma:versionID="e7bb92b4207f7bdeaa3cf75e312101fa">
  <xsd:schema xmlns:xsd="http://www.w3.org/2001/XMLSchema" xmlns:xs="http://www.w3.org/2001/XMLSchema" xmlns:p="http://schemas.microsoft.com/office/2006/metadata/properties" xmlns:ns1="http://schemas.microsoft.com/sharepoint/v3" xmlns:ns2="d3b91ed5-3f36-4885-8f16-366304d6a523" xmlns:ns3="a70dbce6-eb9e-4ef0-9816-d10535489dc8" xmlns:ns4="fbc0044e-ca72-42e0-8fd2-96273d18e93a" xmlns:ns5="http://schemas.microsoft.com/sharepoint/v4" targetNamespace="http://schemas.microsoft.com/office/2006/metadata/properties" ma:root="true" ma:fieldsID="f2f1d1a0c877fc964073db443e91340e" ns1:_="" ns2:_="" ns3:_="" ns4:_="" ns5:_="">
    <xsd:import namespace="http://schemas.microsoft.com/sharepoint/v3"/>
    <xsd:import namespace="d3b91ed5-3f36-4885-8f16-366304d6a523"/>
    <xsd:import namespace="a70dbce6-eb9e-4ef0-9816-d10535489dc8"/>
    <xsd:import namespace="fbc0044e-ca72-42e0-8fd2-96273d18e93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Country" minOccurs="0"/>
                <xsd:element ref="ns4:TaxCatchAll" minOccurs="0"/>
                <xsd:element ref="ns3:Sector" minOccurs="0"/>
                <xsd:element ref="ns3:Compact_x0020_Quarter" minOccurs="0"/>
                <xsd:element ref="ns3:Contract_x0020_Number" minOccurs="0"/>
                <xsd:element ref="ns3:M_x0026_E_x0020_Document_x0020_Type" minOccurs="0"/>
                <xsd:element ref="ns3:Draft_x0020_Date" minOccurs="0"/>
                <xsd:element ref="ns3:Version_x0020_NUmber" minOccurs="0"/>
                <xsd:element ref="ns5:IconOverlay" minOccurs="0"/>
                <xsd:element ref="ns1:_vti_ItemDeclaredRecord" minOccurs="0"/>
                <xsd:element ref="ns1:_vti_ItemHoldRecord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20" nillable="true" ma:displayName="Declared Record" ma:hidden="true" ma:internalName="_vti_ItemDeclaredRecord" ma:readOnly="true">
      <xsd:simpleType>
        <xsd:restriction base="dms:DateTime"/>
      </xsd:simpleType>
    </xsd:element>
    <xsd:element name="_vti_ItemHoldRecordStatus" ma:index="21"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b91ed5-3f36-4885-8f16-366304d6a52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70dbce6-eb9e-4ef0-9816-d10535489dc8" elementFormDefault="qualified">
    <xsd:import namespace="http://schemas.microsoft.com/office/2006/documentManagement/types"/>
    <xsd:import namespace="http://schemas.microsoft.com/office/infopath/2007/PartnerControls"/>
    <xsd:element name="Country" ma:index="11" nillable="true" ma:displayName="Country" ma:default="Other" ma:format="Dropdown" ma:indexed="true" ma:internalName="Country">
      <xsd:simpleType>
        <xsd:restriction base="dms:Choice">
          <xsd:enumeration value="Aruba"/>
          <xsd:enumeration value="Afghanistan"/>
          <xsd:enumeration value="Angola"/>
          <xsd:enumeration value="Anguilla"/>
          <xsd:enumeration value="Åland Islands"/>
          <xsd:enumeration value="Albania"/>
          <xsd:enumeration value="Andorra"/>
          <xsd:enumeration value="United Arab Emirates"/>
          <xsd:enumeration value="Argentina"/>
          <xsd:enumeration value="Armenia"/>
          <xsd:enumeration value="American Samoa"/>
          <xsd:enumeration value="Antarctica"/>
          <xsd:enumeration value="French Southern Territories"/>
          <xsd:enumeration value="Antigua and Barbuda"/>
          <xsd:enumeration value="Australia"/>
          <xsd:enumeration value="Austria"/>
          <xsd:enumeration value="Azerbaijan"/>
          <xsd:enumeration value="Burundi"/>
          <xsd:enumeration value="Belgium"/>
          <xsd:enumeration value="Benin"/>
          <xsd:enumeration value="Bonaire, Sint Eustatius and Saba"/>
          <xsd:enumeration value="Burkina Faso"/>
          <xsd:enumeration value="Bangladesh"/>
          <xsd:enumeration value="Bulgaria"/>
          <xsd:enumeration value="Bahrain"/>
          <xsd:enumeration value="Bahamas"/>
          <xsd:enumeration value="Bosnia and Herzegovina"/>
          <xsd:enumeration value="Saint Barthélemy"/>
          <xsd:enumeration value="Belarus"/>
          <xsd:enumeration value="Belize"/>
          <xsd:enumeration value="Bermuda"/>
          <xsd:enumeration value="Bolivia, Plurinational State of"/>
          <xsd:enumeration value="Brazil"/>
          <xsd:enumeration value="Barbados"/>
          <xsd:enumeration value="Brunei Darussalam"/>
          <xsd:enumeration value="Bhutan"/>
          <xsd:enumeration value="Bouvet Island"/>
          <xsd:enumeration value="Botswana"/>
          <xsd:enumeration value="Central African Republic"/>
          <xsd:enumeration value="Canada"/>
          <xsd:enumeration value="Cocos (Keeling) Islands"/>
          <xsd:enumeration value="Switzerland"/>
          <xsd:enumeration value="Chile"/>
          <xsd:enumeration value="China"/>
          <xsd:enumeration value="Côte d'Ivoire"/>
          <xsd:enumeration value="Cameroon"/>
          <xsd:enumeration value="Congo, the Democratic Republic of the"/>
          <xsd:enumeration value="Congo"/>
          <xsd:enumeration value="Cook Islands"/>
          <xsd:enumeration value="Colombia"/>
          <xsd:enumeration value="Comoros"/>
          <xsd:enumeration value="Cape Verde"/>
          <xsd:enumeration value="Costa Rica"/>
          <xsd:enumeration value="Cuba"/>
          <xsd:enumeration value="Curaçao"/>
          <xsd:enumeration value="Christmas Island"/>
          <xsd:enumeration value="Cayman Islands"/>
          <xsd:enumeration value="Cyprus"/>
          <xsd:enumeration value="Czech Republic"/>
          <xsd:enumeration value="Germany"/>
          <xsd:enumeration value="Djibouti"/>
          <xsd:enumeration value="Dominica"/>
          <xsd:enumeration value="Denmark"/>
          <xsd:enumeration value="Dominican Republic"/>
          <xsd:enumeration value="Algeria"/>
          <xsd:enumeration value="Ecuador"/>
          <xsd:enumeration value="Egypt"/>
          <xsd:enumeration value="Eritrea"/>
          <xsd:enumeration value="Western Sahara"/>
          <xsd:enumeration value="Spain"/>
          <xsd:enumeration value="Estonia"/>
          <xsd:enumeration value="Ethiopia"/>
          <xsd:enumeration value="Finland"/>
          <xsd:enumeration value="Fiji"/>
          <xsd:enumeration value="Falkland Islands (Malvinas)"/>
          <xsd:enumeration value="France"/>
          <xsd:enumeration value="Faroe Islands"/>
          <xsd:enumeration value="Micronesia, Federated States of"/>
          <xsd:enumeration value="Gabon"/>
          <xsd:enumeration value="United Kingdom"/>
          <xsd:enumeration value="Georgia"/>
          <xsd:enumeration value="Guernsey"/>
          <xsd:enumeration value="Ghana"/>
          <xsd:enumeration value="Gibraltar"/>
          <xsd:enumeration value="Guinea"/>
          <xsd:enumeration value="Guadeloupe"/>
          <xsd:enumeration value="Gambia"/>
          <xsd:enumeration value="Guinea-Bissau"/>
          <xsd:enumeration value="Equatorial Guinea"/>
          <xsd:enumeration value="Greece"/>
          <xsd:enumeration value="Grenada"/>
          <xsd:enumeration value="Greenland"/>
          <xsd:enumeration value="Guatemala"/>
          <xsd:enumeration value="French Guiana"/>
          <xsd:enumeration value="Guam"/>
          <xsd:enumeration value="Guyana"/>
          <xsd:enumeration value="Hong Kong"/>
          <xsd:enumeration value="Heard Island and McDonald Islands"/>
          <xsd:enumeration value="Honduras"/>
          <xsd:enumeration value="Croatia"/>
          <xsd:enumeration value="Haiti"/>
          <xsd:enumeration value="Hungary"/>
          <xsd:enumeration value="Indonesia"/>
          <xsd:enumeration value="Isle of Man"/>
          <xsd:enumeration value="India"/>
          <xsd:enumeration value="British Indian Ocean Territory"/>
          <xsd:enumeration value="Ireland"/>
          <xsd:enumeration value="Iran, Islamic Republic of"/>
          <xsd:enumeration value="Iraq"/>
          <xsd:enumeration value="Iceland"/>
          <xsd:enumeration value="Israel"/>
          <xsd:enumeration value="Italy"/>
          <xsd:enumeration value="Jamaica"/>
          <xsd:enumeration value="Jersey"/>
          <xsd:enumeration value="Jordan"/>
          <xsd:enumeration value="Japan"/>
          <xsd:enumeration value="Kazakhstan"/>
          <xsd:enumeration value="Kenya"/>
          <xsd:enumeration value="Kyrgyzstan"/>
          <xsd:enumeration value="Cambodia"/>
          <xsd:enumeration value="Kiribati"/>
          <xsd:enumeration value="Saint Kitts and Nevis"/>
          <xsd:enumeration value="Korea, Republic of"/>
          <xsd:enumeration value="Kuwait"/>
          <xsd:enumeration value="Lao People's Democratic Republic"/>
          <xsd:enumeration value="Lebanon"/>
          <xsd:enumeration value="Liberia"/>
          <xsd:enumeration value="Libya"/>
          <xsd:enumeration value="Saint Lucia"/>
          <xsd:enumeration value="Liechtenstein"/>
          <xsd:enumeration value="Sri Lanka"/>
          <xsd:enumeration value="Lesotho"/>
          <xsd:enumeration value="Lithuania"/>
          <xsd:enumeration value="Luxembourg"/>
          <xsd:enumeration value="Latvia"/>
          <xsd:enumeration value="Macao"/>
          <xsd:enumeration value="Saint Martin (French part)"/>
          <xsd:enumeration value="Morocco"/>
          <xsd:enumeration value="Monaco"/>
          <xsd:enumeration value="Moldova"/>
          <xsd:enumeration value="Madagascar"/>
          <xsd:enumeration value="Maldives"/>
          <xsd:enumeration value="Mexico"/>
          <xsd:enumeration value="Marshall Islands"/>
          <xsd:enumeration value="Macedonia, the former Yugoslav Republic of"/>
          <xsd:enumeration value="Mali"/>
          <xsd:enumeration value="Malta"/>
          <xsd:enumeration value="Myanmar"/>
          <xsd:enumeration value="Montenegro"/>
          <xsd:enumeration value="Mongolia"/>
          <xsd:enumeration value="Northern Mariana Islands"/>
          <xsd:enumeration value="Mozambique"/>
          <xsd:enumeration value="Mauritania"/>
          <xsd:enumeration value="Montserrat"/>
          <xsd:enumeration value="Martinique"/>
          <xsd:enumeration value="Mauritius"/>
          <xsd:enumeration value="Malawi"/>
          <xsd:enumeration value="Malaysia"/>
          <xsd:enumeration value="Mayotte"/>
          <xsd:enumeration value="Namibia"/>
          <xsd:enumeration value="New Caledonia"/>
          <xsd:enumeration value="Niger"/>
          <xsd:enumeration value="Norfolk Island"/>
          <xsd:enumeration value="Nigeria"/>
          <xsd:enumeration value="Nicaragua"/>
          <xsd:enumeration value="Niue"/>
          <xsd:enumeration value="Netherlands"/>
          <xsd:enumeration value="Norway"/>
          <xsd:enumeration value="Nepal"/>
          <xsd:enumeration value="Nauru"/>
          <xsd:enumeration value="New Zealand"/>
          <xsd:enumeration value="Oman"/>
          <xsd:enumeration value="Pakistan"/>
          <xsd:enumeration value="Panama"/>
          <xsd:enumeration value="Pitcairn"/>
          <xsd:enumeration value="Peru"/>
          <xsd:enumeration value="Philippines"/>
          <xsd:enumeration value="Palau"/>
          <xsd:enumeration value="Papua New Guinea"/>
          <xsd:enumeration value="Poland"/>
          <xsd:enumeration value="Puerto Rico"/>
          <xsd:enumeration value="Korea, Democratic People's Republic of"/>
          <xsd:enumeration value="Portugal"/>
          <xsd:enumeration value="Paraguay"/>
          <xsd:enumeration value="Palestinian Territory, Occupied"/>
          <xsd:enumeration value="French Polynesia"/>
          <xsd:enumeration value="Qatar"/>
          <xsd:enumeration value="Réunion"/>
          <xsd:enumeration value="Romania"/>
          <xsd:enumeration value="Russian Federation"/>
          <xsd:enumeration value="Rwanda"/>
          <xsd:enumeration value="Saudi Arabia"/>
          <xsd:enumeration value="Sudan"/>
          <xsd:enumeration value="Senegal"/>
          <xsd:enumeration value="Singapore"/>
          <xsd:enumeration value="South Georgia and the South Sandwich Islands"/>
          <xsd:enumeration value="Saint Helena, Ascension and Tristan da Cunha"/>
          <xsd:enumeration value="Svalbard and Jan Mayen"/>
          <xsd:enumeration value="Solomon Islands"/>
          <xsd:enumeration value="Sierra Leone"/>
          <xsd:enumeration value="El Salvador"/>
          <xsd:enumeration value="San Marino"/>
          <xsd:enumeration value="Somalia"/>
          <xsd:enumeration value="Saint Pierre and Miquelon"/>
          <xsd:enumeration value="Serbia"/>
          <xsd:enumeration value="South Sudan"/>
          <xsd:enumeration value="Sao Tome and Principe"/>
          <xsd:enumeration value="Suriname"/>
          <xsd:enumeration value="Slovakia"/>
          <xsd:enumeration value="Slovenia"/>
          <xsd:enumeration value="Sweden"/>
          <xsd:enumeration value="Swaziland"/>
          <xsd:enumeration value="Sint Maarten (Dutch part)"/>
          <xsd:enumeration value="Seychelles"/>
          <xsd:enumeration value="Syrian Arab Republic"/>
          <xsd:enumeration value="Turks and Caicos Islands"/>
          <xsd:enumeration value="Chad"/>
          <xsd:enumeration value="Togo"/>
          <xsd:enumeration value="Thailand"/>
          <xsd:enumeration value="Tajikistan"/>
          <xsd:enumeration value="Tokelau"/>
          <xsd:enumeration value="Turkmenistan"/>
          <xsd:enumeration value="Timor-Leste"/>
          <xsd:enumeration value="Tonga"/>
          <xsd:enumeration value="Trinidad and Tobago"/>
          <xsd:enumeration value="Tunisia"/>
          <xsd:enumeration value="Turkey"/>
          <xsd:enumeration value="Tuvalu"/>
          <xsd:enumeration value="Taiwan, Province of China"/>
          <xsd:enumeration value="Tanzania"/>
          <xsd:enumeration value="Uganda"/>
          <xsd:enumeration value="Ukraine"/>
          <xsd:enumeration value="United States Minor Outlying Islands"/>
          <xsd:enumeration value="Uruguay"/>
          <xsd:enumeration value="United States"/>
          <xsd:enumeration value="Uzbekistan"/>
          <xsd:enumeration value="Holy See (Vatican City State)"/>
          <xsd:enumeration value="Saint Vincent and the Grenadines"/>
          <xsd:enumeration value="Venezuela, Bolivarian Republic of"/>
          <xsd:enumeration value="Virgin Islands, British"/>
          <xsd:enumeration value="Virgin Islands, U.S."/>
          <xsd:enumeration value="Viet Nam"/>
          <xsd:enumeration value="Vanuatu"/>
          <xsd:enumeration value="Wallis and Futuna"/>
          <xsd:enumeration value="Samoa"/>
          <xsd:enumeration value="Yemen"/>
          <xsd:enumeration value="South Africa"/>
          <xsd:enumeration value="Zambia"/>
          <xsd:enumeration value="Zimbabwe"/>
          <xsd:enumeration value="Other"/>
        </xsd:restriction>
      </xsd:simpleType>
    </xsd:element>
    <xsd:element name="Sector" ma:index="13" nillable="true" ma:displayName="Sector" ma:description="DAC Sector" ma:format="Dropdown" ma:internalName="Sector">
      <xsd:simpleType>
        <xsd:restriction base="dms:Choice">
          <xsd:enumeration value="Education"/>
          <xsd:enumeration value="Health"/>
          <xsd:enumeration value="Population Policies/Programmes and Reproductive Health"/>
          <xsd:enumeration value="Water and Sanitation"/>
          <xsd:enumeration value="Government and Civil Society"/>
          <xsd:enumeration value="Other Social Infrastructure and Services"/>
          <xsd:enumeration value="Transport and Storage"/>
          <xsd:enumeration value="Communication"/>
          <xsd:enumeration value="Energy Generation and Supply"/>
          <xsd:enumeration value="Banking and Financial Services"/>
          <xsd:enumeration value="Business and Other Services"/>
          <xsd:enumeration value="Agriculture"/>
          <xsd:enumeration value="Forestry"/>
          <xsd:enumeration value="Fishing"/>
          <xsd:enumeration value="Industry"/>
          <xsd:enumeration value="Mineral Resources and Mining"/>
          <xsd:enumeration value="Construction"/>
          <xsd:enumeration value="Trade Policy and Regulations and Trade-Related Adjustment"/>
          <xsd:enumeration value="Tourism"/>
          <xsd:enumeration value="Multisector/Cross-Cutting"/>
          <xsd:enumeration value="Commodity Aid and General Programme Assistance"/>
          <xsd:enumeration value="Action Relating to Debt"/>
          <xsd:enumeration value="Humanitarian Aid"/>
          <xsd:enumeration value="Administrative Costs of Donors"/>
          <xsd:enumeration value="Refugees in Donor Countries"/>
          <xsd:enumeration value="Unallocated/Unspecified"/>
          <xsd:enumeration value="Multiple"/>
        </xsd:restriction>
      </xsd:simpleType>
    </xsd:element>
    <xsd:element name="Compact_x0020_Quarter" ma:index="14" nillable="true" ma:displayName="Compact Quarter" ma:default="Pre-EIF" ma:description="Compact Quarter" ma:format="Dropdown" ma:indexed="true" ma:internalName="Compact_x0020_Quarter">
      <xsd:simpleType>
        <xsd:restriction base="dms:Choice">
          <xsd:enumeration value="N/A"/>
          <xsd:enumeration value="Pre-EIF"/>
          <xsd:enumeration value="Q1"/>
          <xsd:enumeration value="Q2"/>
          <xsd:enumeration value="Q3"/>
          <xsd:enumeration value="Q4"/>
          <xsd:enumeration value="Q5"/>
          <xsd:enumeration value="Q6"/>
          <xsd:enumeration value="Q7"/>
          <xsd:enumeration value="Q8"/>
          <xsd:enumeration value="Q9"/>
          <xsd:enumeration value="Q10"/>
          <xsd:enumeration value="Q11"/>
          <xsd:enumeration value="Q12"/>
          <xsd:enumeration value="Q13"/>
          <xsd:enumeration value="Q14"/>
          <xsd:enumeration value="Q15"/>
          <xsd:enumeration value="Q16"/>
          <xsd:enumeration value="Q17"/>
          <xsd:enumeration value="Q18"/>
          <xsd:enumeration value="Q19"/>
          <xsd:enumeration value="Q20"/>
          <xsd:enumeration value="Q21"/>
          <xsd:enumeration value="Q22"/>
          <xsd:enumeration value="Q23"/>
          <xsd:enumeration value="Q24"/>
          <xsd:enumeration value="&gt;Q24"/>
        </xsd:restriction>
      </xsd:simpleType>
    </xsd:element>
    <xsd:element name="Contract_x0020_Number" ma:index="15" nillable="true" ma:displayName="Contract Number" ma:description="MCC Contract Number" ma:internalName="Contract_x0020_Number">
      <xsd:simpleType>
        <xsd:restriction base="dms:Text">
          <xsd:maxLength value="50"/>
        </xsd:restriction>
      </xsd:simpleType>
    </xsd:element>
    <xsd:element name="M_x0026_E_x0020_Document_x0020_Type" ma:index="16" nillable="true" ma:displayName="M&amp;E Doc Type" ma:default="Other" ma:description="M&amp;E Document Type" ma:format="Dropdown" ma:indexed="true" ma:internalName="M_x0026_E_x0020_Document_x0020_Type">
      <xsd:simpleType>
        <xsd:union memberTypes="dms:Text">
          <xsd:simpleType>
            <xsd:restriction base="dms:Choice">
              <xsd:enumeration value="ME Plan"/>
              <xsd:enumeration value="Data Quality Review Report"/>
              <xsd:enumeration value="Data Quality Review Deesign Report"/>
              <xsd:enumeration value="Indicator Tracking Table"/>
              <xsd:enumeration value="Evaluation Pipeline"/>
              <xsd:enumeration value="Evaluation Plan"/>
              <xsd:enumeration value="Evaluation Design Report"/>
              <xsd:enumeration value="Baseline Report"/>
              <xsd:enumeration value="Midterm Report"/>
              <xsd:enumeration value="Interim Report"/>
              <xsd:enumeration value="Final Evaluation Report"/>
              <xsd:enumeration value="Final Questionnaire"/>
              <xsd:enumeration value="Implementation &amp; Training Plans"/>
              <xsd:enumeration value="Survey Data"/>
              <xsd:enumeration value="Survey Report"/>
              <xsd:enumeration value="Meeting Minutes"/>
              <xsd:enumeration value="Training"/>
              <xsd:enumeration value="Position Description"/>
              <xsd:enumeration value="Contact List"/>
              <xsd:enumeration value="Budget (Due Diligence)"/>
              <xsd:enumeration value="Trip Report"/>
              <xsd:enumeration value="Compact Statistics"/>
              <xsd:enumeration value="IDIQ Contract"/>
              <xsd:enumeration value="Request for Proposals"/>
              <xsd:enumeration value="Task Order"/>
              <xsd:enumeration value="Contract"/>
              <xsd:enumeration value="Quarterly Report"/>
              <xsd:enumeration value="Work Plan"/>
              <xsd:enumeration value="Terms of Reference"/>
              <xsd:enumeration value="Implementating Entity Agreements"/>
              <xsd:enumeration value="COTR Designation"/>
              <xsd:enumeration value="PM Designation"/>
              <xsd:enumeration value="Invoice"/>
              <xsd:enumeration value="Chevron"/>
              <xsd:enumeration value="Table of Key Performance Indicators"/>
              <xsd:enumeration value="Evaluation Summaries &amp; Timelines"/>
              <xsd:enumeration value="M &amp; E Policy"/>
              <xsd:enumeration value="Reference Material"/>
              <xsd:enumeration value="Guidance"/>
              <xsd:enumeration value="Toolkit"/>
              <xsd:enumeration value="Other"/>
            </xsd:restriction>
          </xsd:simpleType>
        </xsd:union>
      </xsd:simpleType>
    </xsd:element>
    <xsd:element name="Draft_x0020_Date" ma:index="17" nillable="true" ma:displayName="Draft Date" ma:description="Draft Date - Month (3 digit) and year (2 digit)" ma:indexed="true" ma:internalName="Draft_x0020_Date">
      <xsd:simpleType>
        <xsd:restriction base="dms:Text">
          <xsd:maxLength value="5"/>
        </xsd:restriction>
      </xsd:simpleType>
    </xsd:element>
    <xsd:element name="Version_x0020_NUmber" ma:index="18" nillable="true" ma:displayName="Version Number" ma:description="Version number of final accepted design reports. Please do not upload/assign version numbers to drafts." ma:internalName="Version_x0020_NUmber" ma:percentage="FALSE">
      <xsd:simpleType>
        <xsd:restriction base="dms:Number">
          <xsd:maxInclusive value="20"/>
          <xsd:minInclusive value="1"/>
        </xsd:restriction>
      </xsd:simpleType>
    </xsd:element>
  </xsd:schema>
  <xsd:schema xmlns:xsd="http://www.w3.org/2001/XMLSchema" xmlns:xs="http://www.w3.org/2001/XMLSchema" xmlns:dms="http://schemas.microsoft.com/office/2006/documentManagement/types" xmlns:pc="http://schemas.microsoft.com/office/infopath/2007/PartnerControls" targetNamespace="fbc0044e-ca72-42e0-8fd2-96273d18e93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8d072b3-2ca3-4bf7-858d-556e3bfea047}" ma:internalName="TaxCatchAll" ma:showField="CatchAllData" ma:web="d3b91ed5-3f36-4885-8f16-366304d6a52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Project/Activity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41F67-65DA-44BE-969A-A8F8FBDED7DA}">
  <ds:schemaRefs>
    <ds:schemaRef ds:uri="http://schemas.microsoft.com/sharepoint/events"/>
  </ds:schemaRefs>
</ds:datastoreItem>
</file>

<file path=customXml/itemProps2.xml><?xml version="1.0" encoding="utf-8"?>
<ds:datastoreItem xmlns:ds="http://schemas.openxmlformats.org/officeDocument/2006/customXml" ds:itemID="{9D09E70E-F036-4BE8-8329-37E1E11236AF}">
  <ds:schemaRefs>
    <ds:schemaRef ds:uri="http://schemas.microsoft.com/sharepoint/v3/contenttype/forms"/>
  </ds:schemaRefs>
</ds:datastoreItem>
</file>

<file path=customXml/itemProps3.xml><?xml version="1.0" encoding="utf-8"?>
<ds:datastoreItem xmlns:ds="http://schemas.openxmlformats.org/officeDocument/2006/customXml" ds:itemID="{6916DA38-2A9E-4C6C-BC7F-4B0A0DB5E8BA}">
  <ds:schemaRefs>
    <ds:schemaRef ds:uri="http://schemas.openxmlformats.org/package/2006/metadata/core-properties"/>
    <ds:schemaRef ds:uri="http://schemas.microsoft.com/sharepoint/v3"/>
    <ds:schemaRef ds:uri="http://purl.org/dc/terms/"/>
    <ds:schemaRef ds:uri="http://schemas.microsoft.com/office/infopath/2007/PartnerControls"/>
    <ds:schemaRef ds:uri="http://schemas.microsoft.com/office/2006/documentManagement/types"/>
    <ds:schemaRef ds:uri="http://schemas.microsoft.com/sharepoint/v4"/>
    <ds:schemaRef ds:uri="fbc0044e-ca72-42e0-8fd2-96273d18e93a"/>
    <ds:schemaRef ds:uri="a70dbce6-eb9e-4ef0-9816-d10535489dc8"/>
    <ds:schemaRef ds:uri="http://purl.org/dc/elements/1.1/"/>
    <ds:schemaRef ds:uri="http://schemas.microsoft.com/office/2006/metadata/properties"/>
    <ds:schemaRef ds:uri="d3b91ed5-3f36-4885-8f16-366304d6a523"/>
    <ds:schemaRef ds:uri="http://www.w3.org/XML/1998/namespace"/>
    <ds:schemaRef ds:uri="http://purl.org/dc/dcmitype/"/>
  </ds:schemaRefs>
</ds:datastoreItem>
</file>

<file path=customXml/itemProps4.xml><?xml version="1.0" encoding="utf-8"?>
<ds:datastoreItem xmlns:ds="http://schemas.openxmlformats.org/officeDocument/2006/customXml" ds:itemID="{3B789DA7-6611-4D30-8BDA-8952FE631C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3b91ed5-3f36-4885-8f16-366304d6a523"/>
    <ds:schemaRef ds:uri="a70dbce6-eb9e-4ef0-9816-d10535489dc8"/>
    <ds:schemaRef ds:uri="fbc0044e-ca72-42e0-8fd2-96273d18e93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BBAB4D5-D5BC-4C24-B11F-1AF539E63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909</Words>
  <Characters>5165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Date</vt:lpstr>
    </vt:vector>
  </TitlesOfParts>
  <Company>test</Company>
  <LinksUpToDate>false</LinksUpToDate>
  <CharactersWithSpaces>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subject/>
  <dc:creator>Brett Bearce</dc:creator>
  <cp:keywords/>
  <dc:description/>
  <cp:lastModifiedBy>Danes, Claire E (DPE/EE-ME/PSC)</cp:lastModifiedBy>
  <cp:revision>3</cp:revision>
  <dcterms:created xsi:type="dcterms:W3CDTF">2020-05-06T17:27:00Z</dcterms:created>
  <dcterms:modified xsi:type="dcterms:W3CDTF">2020-05-06T17:41:00Z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0x010100AA36C95972148D4496F2483124D49464</vt:lpwstr>
  </property>
  <property fmtid="{D5CDD505-2E9C-101B-9397-08002B2CF9AE}" pid="3" name="_dlc_DocIdItemGuid">
    <vt:lpwstr>75f5c6a0-fd05-43bc-87d9-1c101ca31d1a</vt:lpwstr>
  </property>
</Properties>
</file>